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E3" w:rsidRDefault="003673FA">
      <w:pPr>
        <w:pStyle w:val="Heading2"/>
        <w:rPr>
          <w:rFonts w:ascii="Calibri" w:hAnsi="Calibri"/>
          <w:i w:val="0"/>
        </w:rPr>
      </w:pPr>
      <w:bookmarkStart w:id="0" w:name="_GoBack"/>
      <w:bookmarkEnd w:id="0"/>
      <w:r>
        <w:rPr>
          <w:rFonts w:ascii="Calibri" w:hAnsi="Calibri"/>
          <w:i w:val="0"/>
        </w:rPr>
        <w:t>CR-05 - Goals and Outcomes</w:t>
      </w:r>
    </w:p>
    <w:p w:rsidR="00C472E3" w:rsidRDefault="003673FA">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C472E3" w:rsidRDefault="003673FA">
      <w:pPr>
        <w:keepNext/>
        <w:widowControl w:val="0"/>
        <w:spacing w:after="0" w:line="240" w:lineRule="auto"/>
      </w:pPr>
      <w:r>
        <w:t xml:space="preserve">This could be an overview that includes major initiatives and highlights that were proposed and executed throughout the </w:t>
      </w:r>
      <w:r>
        <w:t>program year.</w:t>
      </w:r>
    </w:p>
    <w:p w:rsidR="00C472E3" w:rsidRDefault="00C472E3">
      <w:pPr>
        <w:keepNext/>
        <w:widowControl w:val="0"/>
        <w:spacing w:after="0" w:line="240" w:lineRule="auto"/>
        <w:rPr>
          <w:b/>
        </w:rPr>
      </w:pPr>
    </w:p>
    <w:p w:rsidR="00C472E3" w:rsidRDefault="003673FA">
      <w:pPr>
        <w:widowControl w:val="0"/>
        <w:spacing w:beforeAutospacing="1" w:afterAutospacing="1"/>
        <w:rPr>
          <w:szCs w:val="24"/>
        </w:rPr>
      </w:pPr>
      <w:r>
        <w:t>Multnomah County is pleased to submit the Consolidated Annual Performance and Evaluation Report (CAPER) for its CDBG allocation for the second year of the 2021-2025 Consolidated Plan of our Consortium.  Our Consortium is comprised of Multnom</w:t>
      </w:r>
      <w:r>
        <w:t>ah County, the City of Gresham, and the City of Portland, Oregon.</w:t>
      </w:r>
    </w:p>
    <w:p w:rsidR="00C472E3" w:rsidRDefault="003673FA">
      <w:pPr>
        <w:widowControl w:val="0"/>
        <w:spacing w:beforeAutospacing="1" w:afterAutospacing="1"/>
        <w:rPr>
          <w:szCs w:val="24"/>
        </w:rPr>
      </w:pPr>
      <w:r>
        <w:t>This report describes the progress made by Multnomah County from July 1, 2022 to June 30, 2023, towards the goals set out in the Consolidated Plan.  The County 2022-2023 Community Developmen</w:t>
      </w:r>
      <w:r>
        <w:t xml:space="preserve">t Block Grant (CDBG) allocation was $273,283.00. Highlights of accomplishments in each of the project categories are described throughout this report and include how the projects benefitted low- and moderate-income residents of the geography served by the </w:t>
      </w:r>
      <w:r>
        <w:t>Multnomah County grant.  The 2022-23 CAPER demonstrates how Multnomah County met the regulatory requirements of HUD’s CDBG program by detailing project goal accomplishments, data outcome tables, and documentation of resources allocated.</w:t>
      </w:r>
    </w:p>
    <w:p w:rsidR="00C472E3" w:rsidRDefault="003673FA">
      <w:pPr>
        <w:widowControl w:val="0"/>
        <w:spacing w:beforeAutospacing="1" w:afterAutospacing="1"/>
        <w:rPr>
          <w:szCs w:val="24"/>
        </w:rPr>
      </w:pPr>
      <w:r>
        <w:t>The Multnomah Count</w:t>
      </w:r>
      <w:r>
        <w:t>y CDBG entitlement area consists of the small cities in East Multnomah County as follows: Fairview, Maywood Park, Troutdale, and Wood Village - as well as unincorporated areas within the county.</w:t>
      </w:r>
    </w:p>
    <w:p w:rsidR="00C472E3" w:rsidRDefault="003673FA">
      <w:pPr>
        <w:widowControl w:val="0"/>
        <w:spacing w:beforeAutospacing="1" w:afterAutospacing="1"/>
        <w:rPr>
          <w:szCs w:val="24"/>
        </w:rPr>
      </w:pPr>
      <w:r>
        <w:t>Funded project categories include Public Facilities and Impro</w:t>
      </w:r>
      <w:r>
        <w:t>vements, Housing Rehabilitation, Public Services, Fair Housing, and Administration.  All projects aim to further the goals outlined in the 2021-2025 Consolidated Plan and are directly tied to the priorities of Multnomah County’s 2022-2023 Annual Action Pla</w:t>
      </w:r>
      <w:r>
        <w:t>n.</w:t>
      </w:r>
    </w:p>
    <w:p w:rsidR="00C472E3" w:rsidRDefault="003673FA">
      <w:pPr>
        <w:widowControl w:val="0"/>
        <w:spacing w:beforeAutospacing="1" w:afterAutospacing="1"/>
        <w:rPr>
          <w:szCs w:val="24"/>
        </w:rPr>
      </w:pPr>
      <w:r>
        <w:t>Currently, only the cities of Fairview and Wood Village qualify by population areas to receive funding for public facilities improvement projects. However, residents within the entire jurisdictional area may receive the benefits of housing rehabilitatio</w:t>
      </w:r>
      <w:r>
        <w:t>n and public services based on having a low- and moderate-income.</w:t>
      </w:r>
    </w:p>
    <w:p w:rsidR="00C472E3" w:rsidRDefault="003673FA">
      <w:pPr>
        <w:widowControl w:val="0"/>
        <w:spacing w:beforeAutospacing="1" w:afterAutospacing="1"/>
        <w:rPr>
          <w:szCs w:val="24"/>
        </w:rPr>
      </w:pPr>
      <w:r>
        <w:t>Multnomah County continues its commitment to efficiently administer and utilize CDBG funds in the east Multnomah County area by soliciting and choosing projects that will best serve the low-</w:t>
      </w:r>
      <w:r>
        <w:t>moderate income residents. We value working with our community partners to meet the housing, social services, and public infrastructure needs of individuals and households that live in our CDBG entitlement area.</w:t>
      </w:r>
    </w:p>
    <w:p w:rsidR="00C472E3" w:rsidRDefault="003673FA">
      <w:pPr>
        <w:widowControl w:val="0"/>
        <w:spacing w:beforeAutospacing="1" w:afterAutospacing="1"/>
        <w:rPr>
          <w:szCs w:val="24"/>
        </w:rPr>
      </w:pPr>
      <w:r>
        <w:rPr>
          <w:b/>
        </w:rPr>
        <w:lastRenderedPageBreak/>
        <w:t>CDBG-CV</w:t>
      </w:r>
    </w:p>
    <w:p w:rsidR="00C472E3" w:rsidRDefault="003673FA">
      <w:pPr>
        <w:widowControl w:val="0"/>
        <w:spacing w:beforeAutospacing="1" w:afterAutospacing="1"/>
        <w:rPr>
          <w:szCs w:val="24"/>
        </w:rPr>
      </w:pPr>
      <w:r>
        <w:t xml:space="preserve">The CARES Act is a federal response </w:t>
      </w:r>
      <w:r>
        <w:t>to the declared COVID-19 pandemic. These funds were introduced in the 2019 Amended Annual Action Plan as CDBG-CV. Due to space limitations in this section, CDBG-CV projects and activities carried out during 2022-23 that are linked to the 2016-2020 Consolid</w:t>
      </w:r>
      <w:r>
        <w:t>ated Plan are described at the end of the CR-05 under "Projects Linked to the 2016-2020 Consolidated Plan". </w:t>
      </w:r>
    </w:p>
    <w:p w:rsidR="00C472E3" w:rsidRDefault="003673FA">
      <w:pPr>
        <w:widowControl w:val="0"/>
        <w:spacing w:beforeAutospacing="1" w:afterAutospacing="1"/>
        <w:rPr>
          <w:szCs w:val="24"/>
        </w:rPr>
      </w:pPr>
      <w:r>
        <w:t>Two CDBG-CV funded rent assistance projects from the 2019-20 Annual Action Plan continued into the 2022-23 fiscal year.  These programs did not pul</w:t>
      </w:r>
      <w:r>
        <w:t>l into the table because they are part of the previous 2016-2020 Consolidated Plan. Those Rental Assistance Programs assisted 57 households. </w:t>
      </w:r>
    </w:p>
    <w:p w:rsidR="00C472E3" w:rsidRDefault="003673FA">
      <w:pPr>
        <w:widowControl w:val="0"/>
        <w:spacing w:beforeAutospacing="1" w:afterAutospacing="1"/>
        <w:rPr>
          <w:szCs w:val="24"/>
        </w:rPr>
      </w:pPr>
      <w:r>
        <w:t> </w:t>
      </w:r>
    </w:p>
    <w:p w:rsidR="00C472E3" w:rsidRDefault="003673FA">
      <w:pPr>
        <w:widowControl w:val="0"/>
        <w:spacing w:beforeAutospacing="1" w:afterAutospacing="1"/>
        <w:rPr>
          <w:szCs w:val="24"/>
        </w:rPr>
      </w:pPr>
      <w:r>
        <w:t xml:space="preserve">Demographics for those assisted with CDBG-CV funds are summarized in the CR-10. </w:t>
      </w:r>
    </w:p>
    <w:p w:rsidR="00C472E3" w:rsidRDefault="003673FA">
      <w:pPr>
        <w:widowControl w:val="0"/>
        <w:spacing w:beforeAutospacing="1" w:afterAutospacing="1"/>
        <w:rPr>
          <w:szCs w:val="24"/>
        </w:rPr>
      </w:pPr>
      <w:r>
        <w:t> </w:t>
      </w:r>
    </w:p>
    <w:p w:rsidR="00C472E3" w:rsidRDefault="003673FA">
      <w:pPr>
        <w:keepNext/>
        <w:widowControl w:val="0"/>
        <w:spacing w:after="0" w:line="240" w:lineRule="auto"/>
        <w:rPr>
          <w:b/>
          <w:sz w:val="24"/>
          <w:szCs w:val="24"/>
        </w:rPr>
      </w:pPr>
      <w:r>
        <w:rPr>
          <w:b/>
          <w:sz w:val="24"/>
          <w:szCs w:val="24"/>
        </w:rPr>
        <w:t>Comparison of the proposed ve</w:t>
      </w:r>
      <w:r>
        <w:rPr>
          <w:b/>
          <w:sz w:val="24"/>
          <w:szCs w:val="24"/>
        </w:rPr>
        <w:t>rsus actual outcomes for each outcome measure submitted with the consolidated plan and explain, if applicable, why progress was not made toward meeting goals and objectives.  91.520(g)</w:t>
      </w:r>
    </w:p>
    <w:p w:rsidR="00C472E3" w:rsidRDefault="003673FA">
      <w:pPr>
        <w:keepNext/>
        <w:widowControl w:val="0"/>
        <w:spacing w:after="0" w:line="240" w:lineRule="auto"/>
        <w:rPr>
          <w:szCs w:val="24"/>
        </w:rPr>
      </w:pPr>
      <w:r>
        <w:t>Categories, priority levels, funding sources and amounts, outcomes/obje</w:t>
      </w:r>
      <w:r>
        <w:t>ctives, goal outcome indicators, units of measure, targets, actual outcomes/outputs, and percentage completed for each of the grantee’s program year goals.</w:t>
      </w:r>
    </w:p>
    <w:p w:rsidR="00C472E3" w:rsidRDefault="00C472E3">
      <w:pPr>
        <w:widowControl w:val="0"/>
        <w:rPr>
          <w:b/>
          <w:sz w:val="24"/>
          <w:szCs w:val="24"/>
        </w:rPr>
      </w:pPr>
    </w:p>
    <w:tbl>
      <w:tblPr>
        <w:tblStyle w:val="TableGrid"/>
        <w:tblW w:w="13728" w:type="dxa"/>
        <w:tblInd w:w="0" w:type="dxa"/>
        <w:tblLook w:val="04A0" w:firstRow="1" w:lastRow="0" w:firstColumn="1" w:lastColumn="0" w:noHBand="0" w:noVBand="1"/>
      </w:tblPr>
      <w:tblGrid>
        <w:gridCol w:w="1649"/>
        <w:gridCol w:w="1531"/>
        <w:gridCol w:w="908"/>
        <w:gridCol w:w="2462"/>
        <w:gridCol w:w="1232"/>
        <w:gridCol w:w="987"/>
        <w:gridCol w:w="961"/>
        <w:gridCol w:w="1034"/>
        <w:gridCol w:w="987"/>
        <w:gridCol w:w="943"/>
        <w:gridCol w:w="1034"/>
      </w:tblGrid>
      <w:tr w:rsidR="00C472E3">
        <w:tc>
          <w:tcPr>
            <w:tcW w:w="1248" w:type="dxa"/>
          </w:tcPr>
          <w:p w:rsidR="00C472E3" w:rsidRDefault="003673FA">
            <w:pPr>
              <w:keepNext/>
              <w:widowControl w:val="0"/>
              <w:spacing w:after="0" w:line="240" w:lineRule="auto"/>
              <w:rPr>
                <w:b/>
              </w:rPr>
            </w:pPr>
            <w:r>
              <w:rPr>
                <w:b/>
              </w:rPr>
              <w:t>Goal</w:t>
            </w:r>
          </w:p>
        </w:tc>
        <w:tc>
          <w:tcPr>
            <w:tcW w:w="1248" w:type="dxa"/>
          </w:tcPr>
          <w:p w:rsidR="00C472E3" w:rsidRDefault="003673FA">
            <w:pPr>
              <w:keepNext/>
              <w:widowControl w:val="0"/>
              <w:spacing w:after="0" w:line="240" w:lineRule="auto"/>
              <w:rPr>
                <w:b/>
              </w:rPr>
            </w:pPr>
            <w:r>
              <w:rPr>
                <w:b/>
              </w:rPr>
              <w:t>Category</w:t>
            </w:r>
          </w:p>
        </w:tc>
        <w:tc>
          <w:tcPr>
            <w:tcW w:w="1248" w:type="dxa"/>
          </w:tcPr>
          <w:p w:rsidR="00C472E3" w:rsidRDefault="003673FA">
            <w:pPr>
              <w:keepNext/>
              <w:widowControl w:val="0"/>
              <w:spacing w:after="0" w:line="240" w:lineRule="auto"/>
              <w:rPr>
                <w:b/>
              </w:rPr>
            </w:pPr>
            <w:r>
              <w:rPr>
                <w:b/>
              </w:rPr>
              <w:t>Source / Amount</w:t>
            </w:r>
          </w:p>
        </w:tc>
        <w:tc>
          <w:tcPr>
            <w:tcW w:w="1248" w:type="dxa"/>
          </w:tcPr>
          <w:p w:rsidR="00C472E3" w:rsidRDefault="003673FA">
            <w:pPr>
              <w:keepNext/>
              <w:widowControl w:val="0"/>
              <w:spacing w:after="0" w:line="240" w:lineRule="auto"/>
              <w:rPr>
                <w:b/>
              </w:rPr>
            </w:pPr>
            <w:r>
              <w:rPr>
                <w:b/>
              </w:rPr>
              <w:t>Indicator</w:t>
            </w:r>
          </w:p>
        </w:tc>
        <w:tc>
          <w:tcPr>
            <w:tcW w:w="1248" w:type="dxa"/>
          </w:tcPr>
          <w:p w:rsidR="00C472E3" w:rsidRDefault="003673FA">
            <w:pPr>
              <w:keepNext/>
              <w:widowControl w:val="0"/>
              <w:spacing w:after="0" w:line="240" w:lineRule="auto"/>
              <w:rPr>
                <w:b/>
              </w:rPr>
            </w:pPr>
            <w:r>
              <w:rPr>
                <w:b/>
              </w:rPr>
              <w:t>Unit of Measure</w:t>
            </w:r>
          </w:p>
        </w:tc>
        <w:tc>
          <w:tcPr>
            <w:tcW w:w="1248" w:type="dxa"/>
          </w:tcPr>
          <w:p w:rsidR="00C472E3" w:rsidRDefault="003673FA">
            <w:pPr>
              <w:keepNext/>
              <w:widowControl w:val="0"/>
              <w:spacing w:after="0" w:line="240" w:lineRule="auto"/>
              <w:rPr>
                <w:b/>
              </w:rPr>
            </w:pPr>
            <w:r>
              <w:rPr>
                <w:b/>
              </w:rPr>
              <w:t>Expected – Strategic Plan</w:t>
            </w:r>
          </w:p>
        </w:tc>
        <w:tc>
          <w:tcPr>
            <w:tcW w:w="1248" w:type="dxa"/>
          </w:tcPr>
          <w:p w:rsidR="00C472E3" w:rsidRDefault="003673FA">
            <w:pPr>
              <w:keepNext/>
              <w:widowControl w:val="0"/>
              <w:spacing w:after="0" w:line="240" w:lineRule="auto"/>
              <w:rPr>
                <w:b/>
              </w:rPr>
            </w:pPr>
            <w:r>
              <w:rPr>
                <w:b/>
              </w:rPr>
              <w:t xml:space="preserve">Actual – </w:t>
            </w:r>
            <w:r>
              <w:rPr>
                <w:b/>
              </w:rPr>
              <w:t>Strategic Plan</w:t>
            </w:r>
          </w:p>
        </w:tc>
        <w:tc>
          <w:tcPr>
            <w:tcW w:w="1248" w:type="dxa"/>
          </w:tcPr>
          <w:p w:rsidR="00C472E3" w:rsidRDefault="003673FA">
            <w:pPr>
              <w:keepNext/>
              <w:widowControl w:val="0"/>
              <w:spacing w:after="0" w:line="240" w:lineRule="auto"/>
              <w:rPr>
                <w:b/>
              </w:rPr>
            </w:pPr>
            <w:r>
              <w:rPr>
                <w:b/>
              </w:rPr>
              <w:t>Percent Complete</w:t>
            </w:r>
          </w:p>
        </w:tc>
        <w:tc>
          <w:tcPr>
            <w:tcW w:w="1248" w:type="dxa"/>
          </w:tcPr>
          <w:p w:rsidR="00C472E3" w:rsidRDefault="003673FA">
            <w:pPr>
              <w:keepNext/>
              <w:widowControl w:val="0"/>
              <w:spacing w:after="0" w:line="240" w:lineRule="auto"/>
              <w:rPr>
                <w:b/>
              </w:rPr>
            </w:pPr>
            <w:r>
              <w:rPr>
                <w:b/>
              </w:rPr>
              <w:t>Expected – Program Year</w:t>
            </w:r>
          </w:p>
        </w:tc>
        <w:tc>
          <w:tcPr>
            <w:tcW w:w="1248" w:type="dxa"/>
          </w:tcPr>
          <w:p w:rsidR="00C472E3" w:rsidRDefault="003673FA">
            <w:pPr>
              <w:keepNext/>
              <w:widowControl w:val="0"/>
              <w:spacing w:after="0" w:line="240" w:lineRule="auto"/>
              <w:rPr>
                <w:b/>
              </w:rPr>
            </w:pPr>
            <w:r>
              <w:rPr>
                <w:b/>
              </w:rPr>
              <w:t>Actual – Program Year</w:t>
            </w:r>
          </w:p>
        </w:tc>
        <w:tc>
          <w:tcPr>
            <w:tcW w:w="1248" w:type="dxa"/>
          </w:tcPr>
          <w:p w:rsidR="00C472E3" w:rsidRDefault="003673FA">
            <w:pPr>
              <w:keepNext/>
              <w:widowControl w:val="0"/>
              <w:spacing w:after="0" w:line="240" w:lineRule="auto"/>
              <w:rPr>
                <w:b/>
              </w:rPr>
            </w:pPr>
            <w:r>
              <w:rPr>
                <w:b/>
              </w:rPr>
              <w:t>Percent Complete</w:t>
            </w:r>
          </w:p>
        </w:tc>
      </w:tr>
      <w:tr w:rsidR="00C472E3">
        <w:trPr>
          <w:cantSplit/>
        </w:trPr>
        <w:tc>
          <w:tcPr>
            <w:tcW w:w="0" w:type="auto"/>
            <w:vAlign w:val="center"/>
          </w:tcPr>
          <w:p w:rsidR="00C472E3" w:rsidRDefault="003673FA">
            <w:pPr>
              <w:spacing w:beforeAutospacing="1" w:afterAutospacing="1"/>
            </w:pPr>
            <w:r>
              <w:rPr>
                <w:color w:val="000000"/>
                <w:sz w:val="22"/>
              </w:rPr>
              <w:t>Increase and preserve affordable housing choice</w:t>
            </w:r>
          </w:p>
        </w:tc>
        <w:tc>
          <w:tcPr>
            <w:tcW w:w="0" w:type="auto"/>
            <w:vAlign w:val="center"/>
          </w:tcPr>
          <w:p w:rsidR="00C472E3" w:rsidRDefault="003673FA">
            <w:pPr>
              <w:spacing w:beforeAutospacing="1" w:afterAutospacing="1"/>
            </w:pPr>
            <w:r>
              <w:rPr>
                <w:color w:val="000000"/>
                <w:sz w:val="22"/>
              </w:rPr>
              <w:t>Affordable Housing</w:t>
            </w:r>
            <w:r>
              <w:rPr>
                <w:color w:val="000000"/>
                <w:sz w:val="22"/>
              </w:rPr>
              <w:br/>
              <w:t>Public Housing</w:t>
            </w:r>
            <w:r>
              <w:rPr>
                <w:color w:val="000000"/>
                <w:sz w:val="22"/>
              </w:rPr>
              <w:br/>
              <w:t>Homeless</w:t>
            </w:r>
            <w:r>
              <w:rPr>
                <w:color w:val="000000"/>
                <w:sz w:val="22"/>
              </w:rPr>
              <w:br/>
              <w:t>Non-Homeless Special Needs</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Rental units rehabilitated</w:t>
            </w:r>
          </w:p>
        </w:tc>
        <w:tc>
          <w:tcPr>
            <w:tcW w:w="0" w:type="auto"/>
            <w:vAlign w:val="center"/>
          </w:tcPr>
          <w:p w:rsidR="00C472E3" w:rsidRDefault="003673FA">
            <w:pPr>
              <w:spacing w:beforeAutospacing="1" w:afterAutospacing="1"/>
            </w:pPr>
            <w:r>
              <w:rPr>
                <w:color w:val="000000"/>
                <w:sz w:val="22"/>
              </w:rPr>
              <w:t>Househo</w:t>
            </w:r>
            <w:r>
              <w:rPr>
                <w:color w:val="000000"/>
                <w:sz w:val="22"/>
              </w:rPr>
              <w:t>ld Housing Unit</w:t>
            </w:r>
          </w:p>
        </w:tc>
        <w:tc>
          <w:tcPr>
            <w:tcW w:w="0" w:type="auto"/>
            <w:vAlign w:val="center"/>
          </w:tcPr>
          <w:p w:rsidR="00C472E3" w:rsidRDefault="003673FA">
            <w:pPr>
              <w:spacing w:beforeAutospacing="1" w:afterAutospacing="1"/>
            </w:pPr>
            <w:r>
              <w:rPr>
                <w:color w:val="000000"/>
                <w:sz w:val="22"/>
              </w:rPr>
              <w:t>10</w:t>
            </w:r>
          </w:p>
        </w:tc>
        <w:tc>
          <w:tcPr>
            <w:tcW w:w="0" w:type="auto"/>
            <w:vAlign w:val="center"/>
          </w:tcPr>
          <w:p w:rsidR="00C472E3" w:rsidRDefault="003673FA">
            <w:pPr>
              <w:spacing w:beforeAutospacing="1" w:afterAutospacing="1"/>
            </w:pPr>
            <w:r>
              <w:rPr>
                <w:color w:val="000000"/>
                <w:sz w:val="22"/>
              </w:rPr>
              <w:t>2</w:t>
            </w:r>
          </w:p>
        </w:tc>
        <w:tc>
          <w:tcPr>
            <w:tcW w:w="0" w:type="auto"/>
            <w:vAlign w:val="center"/>
          </w:tcPr>
          <w:p w:rsidR="00C472E3" w:rsidRDefault="003673FA">
            <w:pPr>
              <w:spacing w:beforeAutospacing="1" w:afterAutospacing="1"/>
            </w:pPr>
            <w:r>
              <w:rPr>
                <w:color w:val="000000"/>
                <w:sz w:val="22"/>
              </w:rPr>
              <w:t xml:space="preserve">        20.00%</w:t>
            </w:r>
          </w:p>
        </w:tc>
        <w:tc>
          <w:tcPr>
            <w:tcW w:w="0" w:type="auto"/>
            <w:vAlign w:val="center"/>
          </w:tcPr>
          <w:p w:rsidR="00C472E3" w:rsidRDefault="003673FA">
            <w:pPr>
              <w:spacing w:beforeAutospacing="1" w:afterAutospacing="1"/>
            </w:pPr>
            <w:r>
              <w:rPr>
                <w:color w:val="000000"/>
                <w:sz w:val="22"/>
              </w:rPr>
              <w:t>13</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 xml:space="preserve">         0.00%</w:t>
            </w:r>
          </w:p>
        </w:tc>
      </w:tr>
      <w:tr w:rsidR="00C472E3">
        <w:trPr>
          <w:cantSplit/>
        </w:trPr>
        <w:tc>
          <w:tcPr>
            <w:tcW w:w="0" w:type="auto"/>
            <w:vAlign w:val="center"/>
          </w:tcPr>
          <w:p w:rsidR="00C472E3" w:rsidRDefault="003673FA">
            <w:pPr>
              <w:spacing w:beforeAutospacing="1" w:afterAutospacing="1"/>
            </w:pPr>
            <w:r>
              <w:rPr>
                <w:color w:val="000000"/>
                <w:sz w:val="22"/>
              </w:rPr>
              <w:lastRenderedPageBreak/>
              <w:t>Increase and preserve affordable housing choice</w:t>
            </w:r>
          </w:p>
        </w:tc>
        <w:tc>
          <w:tcPr>
            <w:tcW w:w="0" w:type="auto"/>
            <w:vAlign w:val="center"/>
          </w:tcPr>
          <w:p w:rsidR="00C472E3" w:rsidRDefault="003673FA">
            <w:pPr>
              <w:spacing w:beforeAutospacing="1" w:afterAutospacing="1"/>
            </w:pPr>
            <w:r>
              <w:rPr>
                <w:color w:val="000000"/>
                <w:sz w:val="22"/>
              </w:rPr>
              <w:t>Affordable Housing</w:t>
            </w:r>
            <w:r>
              <w:rPr>
                <w:color w:val="000000"/>
                <w:sz w:val="22"/>
              </w:rPr>
              <w:br/>
              <w:t>Public Housing</w:t>
            </w:r>
            <w:r>
              <w:rPr>
                <w:color w:val="000000"/>
                <w:sz w:val="22"/>
              </w:rPr>
              <w:br/>
              <w:t>Homeless</w:t>
            </w:r>
            <w:r>
              <w:rPr>
                <w:color w:val="000000"/>
                <w:sz w:val="22"/>
              </w:rPr>
              <w:br/>
              <w:t>Non-Homeless Special Needs</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Homeowner Housing Rehabilitated</w:t>
            </w:r>
          </w:p>
        </w:tc>
        <w:tc>
          <w:tcPr>
            <w:tcW w:w="0" w:type="auto"/>
            <w:vAlign w:val="center"/>
          </w:tcPr>
          <w:p w:rsidR="00C472E3" w:rsidRDefault="003673FA">
            <w:pPr>
              <w:spacing w:beforeAutospacing="1" w:afterAutospacing="1"/>
            </w:pPr>
            <w:r>
              <w:rPr>
                <w:color w:val="000000"/>
                <w:sz w:val="22"/>
              </w:rPr>
              <w:t>Household Housing Unit</w:t>
            </w:r>
          </w:p>
        </w:tc>
        <w:tc>
          <w:tcPr>
            <w:tcW w:w="0" w:type="auto"/>
            <w:vAlign w:val="center"/>
          </w:tcPr>
          <w:p w:rsidR="00C472E3" w:rsidRDefault="003673FA">
            <w:pPr>
              <w:spacing w:beforeAutospacing="1" w:afterAutospacing="1"/>
            </w:pPr>
            <w:r>
              <w:rPr>
                <w:color w:val="000000"/>
                <w:sz w:val="22"/>
              </w:rPr>
              <w:t>135</w:t>
            </w:r>
          </w:p>
        </w:tc>
        <w:tc>
          <w:tcPr>
            <w:tcW w:w="0" w:type="auto"/>
            <w:vAlign w:val="center"/>
          </w:tcPr>
          <w:p w:rsidR="00C472E3" w:rsidRDefault="003673FA">
            <w:pPr>
              <w:spacing w:beforeAutospacing="1" w:afterAutospacing="1"/>
            </w:pPr>
            <w:r>
              <w:rPr>
                <w:color w:val="000000"/>
                <w:sz w:val="22"/>
              </w:rPr>
              <w:t>53</w:t>
            </w:r>
          </w:p>
        </w:tc>
        <w:tc>
          <w:tcPr>
            <w:tcW w:w="0" w:type="auto"/>
            <w:vAlign w:val="center"/>
          </w:tcPr>
          <w:p w:rsidR="00C472E3" w:rsidRDefault="003673FA">
            <w:pPr>
              <w:spacing w:beforeAutospacing="1" w:afterAutospacing="1"/>
            </w:pPr>
            <w:r>
              <w:rPr>
                <w:color w:val="000000"/>
                <w:sz w:val="22"/>
              </w:rPr>
              <w:t xml:space="preserve">        39.26%</w:t>
            </w:r>
          </w:p>
        </w:tc>
        <w:tc>
          <w:tcPr>
            <w:tcW w:w="0" w:type="auto"/>
            <w:vAlign w:val="center"/>
          </w:tcPr>
          <w:p w:rsidR="00C472E3" w:rsidRDefault="003673FA">
            <w:pPr>
              <w:spacing w:beforeAutospacing="1" w:afterAutospacing="1"/>
            </w:pPr>
            <w:r>
              <w:rPr>
                <w:color w:val="000000"/>
                <w:sz w:val="22"/>
              </w:rPr>
              <w:t>16</w:t>
            </w:r>
          </w:p>
        </w:tc>
        <w:tc>
          <w:tcPr>
            <w:tcW w:w="0" w:type="auto"/>
            <w:vAlign w:val="center"/>
          </w:tcPr>
          <w:p w:rsidR="00C472E3" w:rsidRDefault="003673FA">
            <w:pPr>
              <w:spacing w:beforeAutospacing="1" w:afterAutospacing="1"/>
            </w:pPr>
            <w:r>
              <w:rPr>
                <w:color w:val="000000"/>
                <w:sz w:val="22"/>
              </w:rPr>
              <w:t>26</w:t>
            </w:r>
          </w:p>
        </w:tc>
        <w:tc>
          <w:tcPr>
            <w:tcW w:w="0" w:type="auto"/>
            <w:vAlign w:val="center"/>
          </w:tcPr>
          <w:p w:rsidR="00C472E3" w:rsidRDefault="003673FA">
            <w:pPr>
              <w:spacing w:beforeAutospacing="1" w:afterAutospacing="1"/>
            </w:pPr>
            <w:r>
              <w:rPr>
                <w:color w:val="000000"/>
                <w:sz w:val="22"/>
              </w:rPr>
              <w:t xml:space="preserve">       162.50%</w:t>
            </w:r>
          </w:p>
        </w:tc>
      </w:tr>
      <w:tr w:rsidR="00C472E3">
        <w:trPr>
          <w:cantSplit/>
        </w:trPr>
        <w:tc>
          <w:tcPr>
            <w:tcW w:w="0" w:type="auto"/>
            <w:vAlign w:val="center"/>
          </w:tcPr>
          <w:p w:rsidR="00C472E3" w:rsidRDefault="003673FA">
            <w:pPr>
              <w:spacing w:beforeAutospacing="1" w:afterAutospacing="1"/>
            </w:pPr>
            <w:r>
              <w:rPr>
                <w:color w:val="000000"/>
                <w:sz w:val="22"/>
              </w:rPr>
              <w:t>Infrastructure, employment, and anti-poverty</w:t>
            </w:r>
          </w:p>
        </w:tc>
        <w:tc>
          <w:tcPr>
            <w:tcW w:w="0" w:type="auto"/>
            <w:vAlign w:val="center"/>
          </w:tcPr>
          <w:p w:rsidR="00C472E3" w:rsidRDefault="003673FA">
            <w:pPr>
              <w:spacing w:beforeAutospacing="1" w:afterAutospacing="1"/>
            </w:pPr>
            <w:r>
              <w:rPr>
                <w:color w:val="000000"/>
                <w:sz w:val="22"/>
              </w:rPr>
              <w:t>Non-Housing Community Development</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Public Facility or Infrastructure Activities other than Low/Moderate Income Housing Benefit</w:t>
            </w:r>
          </w:p>
        </w:tc>
        <w:tc>
          <w:tcPr>
            <w:tcW w:w="0" w:type="auto"/>
            <w:vAlign w:val="center"/>
          </w:tcPr>
          <w:p w:rsidR="00C472E3" w:rsidRDefault="003673FA">
            <w:pPr>
              <w:spacing w:beforeAutospacing="1" w:afterAutospacing="1"/>
            </w:pPr>
            <w:r>
              <w:rPr>
                <w:color w:val="000000"/>
                <w:sz w:val="22"/>
              </w:rPr>
              <w:t>Persons Assisted</w:t>
            </w:r>
          </w:p>
        </w:tc>
        <w:tc>
          <w:tcPr>
            <w:tcW w:w="0" w:type="auto"/>
            <w:vAlign w:val="center"/>
          </w:tcPr>
          <w:p w:rsidR="00C472E3" w:rsidRDefault="003673FA">
            <w:pPr>
              <w:spacing w:beforeAutospacing="1" w:afterAutospacing="1"/>
            </w:pPr>
            <w:r>
              <w:rPr>
                <w:color w:val="000000"/>
                <w:sz w:val="22"/>
              </w:rPr>
              <w:t>2500</w:t>
            </w:r>
          </w:p>
        </w:tc>
        <w:tc>
          <w:tcPr>
            <w:tcW w:w="0" w:type="auto"/>
            <w:vAlign w:val="center"/>
          </w:tcPr>
          <w:p w:rsidR="00C472E3" w:rsidRDefault="003673FA">
            <w:pPr>
              <w:spacing w:beforeAutospacing="1" w:afterAutospacing="1"/>
            </w:pPr>
            <w:r>
              <w:rPr>
                <w:color w:val="000000"/>
                <w:sz w:val="22"/>
              </w:rPr>
              <w:t>10755</w:t>
            </w:r>
          </w:p>
        </w:tc>
        <w:tc>
          <w:tcPr>
            <w:tcW w:w="0" w:type="auto"/>
            <w:vAlign w:val="center"/>
          </w:tcPr>
          <w:p w:rsidR="00C472E3" w:rsidRDefault="003673FA">
            <w:pPr>
              <w:spacing w:beforeAutospacing="1" w:afterAutospacing="1"/>
            </w:pPr>
            <w:r>
              <w:rPr>
                <w:color w:val="000000"/>
                <w:sz w:val="22"/>
              </w:rPr>
              <w:t xml:space="preserve">       430.2</w:t>
            </w:r>
            <w:r>
              <w:rPr>
                <w:color w:val="000000"/>
                <w:sz w:val="22"/>
              </w:rPr>
              <w:t>0%</w:t>
            </w:r>
          </w:p>
        </w:tc>
        <w:tc>
          <w:tcPr>
            <w:tcW w:w="0" w:type="auto"/>
            <w:vAlign w:val="center"/>
          </w:tcPr>
          <w:p w:rsidR="00C472E3" w:rsidRDefault="003673FA">
            <w:pPr>
              <w:spacing w:beforeAutospacing="1" w:afterAutospacing="1"/>
            </w:pPr>
            <w:r>
              <w:rPr>
                <w:color w:val="000000"/>
                <w:sz w:val="22"/>
              </w:rPr>
              <w:t>4750</w:t>
            </w:r>
          </w:p>
        </w:tc>
        <w:tc>
          <w:tcPr>
            <w:tcW w:w="0" w:type="auto"/>
            <w:vAlign w:val="center"/>
          </w:tcPr>
          <w:p w:rsidR="00C472E3" w:rsidRDefault="003673FA">
            <w:pPr>
              <w:spacing w:beforeAutospacing="1" w:afterAutospacing="1"/>
            </w:pPr>
            <w:r>
              <w:rPr>
                <w:color w:val="000000"/>
                <w:sz w:val="22"/>
              </w:rPr>
              <w:t>4750</w:t>
            </w:r>
          </w:p>
        </w:tc>
        <w:tc>
          <w:tcPr>
            <w:tcW w:w="0" w:type="auto"/>
            <w:vAlign w:val="center"/>
          </w:tcPr>
          <w:p w:rsidR="00C472E3" w:rsidRDefault="003673FA">
            <w:pPr>
              <w:spacing w:beforeAutospacing="1" w:afterAutospacing="1"/>
            </w:pPr>
            <w:r>
              <w:rPr>
                <w:color w:val="000000"/>
                <w:sz w:val="22"/>
              </w:rPr>
              <w:t xml:space="preserve">       100.00%</w:t>
            </w:r>
          </w:p>
        </w:tc>
      </w:tr>
      <w:tr w:rsidR="00C472E3">
        <w:trPr>
          <w:cantSplit/>
        </w:trPr>
        <w:tc>
          <w:tcPr>
            <w:tcW w:w="0" w:type="auto"/>
            <w:vAlign w:val="center"/>
          </w:tcPr>
          <w:p w:rsidR="00C472E3" w:rsidRDefault="003673FA">
            <w:pPr>
              <w:spacing w:beforeAutospacing="1" w:afterAutospacing="1"/>
            </w:pPr>
            <w:r>
              <w:rPr>
                <w:color w:val="000000"/>
                <w:sz w:val="22"/>
              </w:rPr>
              <w:t>Infrastructure, employment, and anti-poverty</w:t>
            </w:r>
          </w:p>
        </w:tc>
        <w:tc>
          <w:tcPr>
            <w:tcW w:w="0" w:type="auto"/>
            <w:vAlign w:val="center"/>
          </w:tcPr>
          <w:p w:rsidR="00C472E3" w:rsidRDefault="003673FA">
            <w:pPr>
              <w:spacing w:beforeAutospacing="1" w:afterAutospacing="1"/>
            </w:pPr>
            <w:r>
              <w:rPr>
                <w:color w:val="000000"/>
                <w:sz w:val="22"/>
              </w:rPr>
              <w:t>Non-Housing Community Development</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Public service activities other than Low/Moderate Income Housing Benefit</w:t>
            </w:r>
          </w:p>
        </w:tc>
        <w:tc>
          <w:tcPr>
            <w:tcW w:w="0" w:type="auto"/>
            <w:vAlign w:val="center"/>
          </w:tcPr>
          <w:p w:rsidR="00C472E3" w:rsidRDefault="003673FA">
            <w:pPr>
              <w:spacing w:beforeAutospacing="1" w:afterAutospacing="1"/>
            </w:pPr>
            <w:r>
              <w:rPr>
                <w:color w:val="000000"/>
                <w:sz w:val="22"/>
              </w:rPr>
              <w:t>Persons Assisted</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 xml:space="preserve"> </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9</w:t>
            </w:r>
          </w:p>
        </w:tc>
        <w:tc>
          <w:tcPr>
            <w:tcW w:w="0" w:type="auto"/>
            <w:vAlign w:val="center"/>
          </w:tcPr>
          <w:p w:rsidR="00C472E3" w:rsidRDefault="003673FA">
            <w:pPr>
              <w:spacing w:beforeAutospacing="1" w:afterAutospacing="1"/>
            </w:pPr>
            <w:r>
              <w:rPr>
                <w:color w:val="000000"/>
                <w:sz w:val="22"/>
              </w:rPr>
              <w:t xml:space="preserve"> </w:t>
            </w:r>
          </w:p>
        </w:tc>
      </w:tr>
      <w:tr w:rsidR="00C472E3">
        <w:trPr>
          <w:cantSplit/>
        </w:trPr>
        <w:tc>
          <w:tcPr>
            <w:tcW w:w="0" w:type="auto"/>
            <w:vAlign w:val="center"/>
          </w:tcPr>
          <w:p w:rsidR="00C472E3" w:rsidRDefault="003673FA">
            <w:pPr>
              <w:spacing w:beforeAutospacing="1" w:afterAutospacing="1"/>
            </w:pPr>
            <w:r>
              <w:rPr>
                <w:color w:val="000000"/>
                <w:sz w:val="22"/>
              </w:rPr>
              <w:t>Reduce homelessness and increase stability</w:t>
            </w:r>
          </w:p>
        </w:tc>
        <w:tc>
          <w:tcPr>
            <w:tcW w:w="0" w:type="auto"/>
            <w:vAlign w:val="center"/>
          </w:tcPr>
          <w:p w:rsidR="00C472E3" w:rsidRDefault="003673FA">
            <w:pPr>
              <w:spacing w:beforeAutospacing="1" w:afterAutospacing="1"/>
            </w:pPr>
            <w:r>
              <w:rPr>
                <w:color w:val="000000"/>
                <w:sz w:val="22"/>
              </w:rPr>
              <w:t>Homeless</w:t>
            </w:r>
            <w:r>
              <w:rPr>
                <w:color w:val="000000"/>
                <w:sz w:val="22"/>
              </w:rPr>
              <w:br/>
              <w:t>Non-Homeless Special Needs</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Public service activities other than Low/Moderate Income Housing Benefit</w:t>
            </w:r>
          </w:p>
        </w:tc>
        <w:tc>
          <w:tcPr>
            <w:tcW w:w="0" w:type="auto"/>
            <w:vAlign w:val="center"/>
          </w:tcPr>
          <w:p w:rsidR="00C472E3" w:rsidRDefault="003673FA">
            <w:pPr>
              <w:spacing w:beforeAutospacing="1" w:afterAutospacing="1"/>
            </w:pPr>
            <w:r>
              <w:rPr>
                <w:color w:val="000000"/>
                <w:sz w:val="22"/>
              </w:rPr>
              <w:t>Persons Assisted</w:t>
            </w:r>
          </w:p>
        </w:tc>
        <w:tc>
          <w:tcPr>
            <w:tcW w:w="0" w:type="auto"/>
            <w:vAlign w:val="center"/>
          </w:tcPr>
          <w:p w:rsidR="00C472E3" w:rsidRDefault="003673FA">
            <w:pPr>
              <w:spacing w:beforeAutospacing="1" w:afterAutospacing="1"/>
            </w:pPr>
            <w:r>
              <w:rPr>
                <w:color w:val="000000"/>
                <w:sz w:val="22"/>
              </w:rPr>
              <w:t>435</w:t>
            </w:r>
          </w:p>
        </w:tc>
        <w:tc>
          <w:tcPr>
            <w:tcW w:w="0" w:type="auto"/>
            <w:vAlign w:val="center"/>
          </w:tcPr>
          <w:p w:rsidR="00C472E3" w:rsidRDefault="003673FA">
            <w:pPr>
              <w:spacing w:beforeAutospacing="1" w:afterAutospacing="1"/>
            </w:pPr>
            <w:r>
              <w:rPr>
                <w:color w:val="000000"/>
                <w:sz w:val="22"/>
              </w:rPr>
              <w:t>193</w:t>
            </w:r>
          </w:p>
        </w:tc>
        <w:tc>
          <w:tcPr>
            <w:tcW w:w="0" w:type="auto"/>
            <w:vAlign w:val="center"/>
          </w:tcPr>
          <w:p w:rsidR="00C472E3" w:rsidRDefault="003673FA">
            <w:pPr>
              <w:spacing w:beforeAutospacing="1" w:afterAutospacing="1"/>
            </w:pPr>
            <w:r>
              <w:rPr>
                <w:color w:val="000000"/>
                <w:sz w:val="22"/>
              </w:rPr>
              <w:t xml:space="preserve">        44.37%</w:t>
            </w:r>
          </w:p>
        </w:tc>
        <w:tc>
          <w:tcPr>
            <w:tcW w:w="0" w:type="auto"/>
            <w:vAlign w:val="center"/>
          </w:tcPr>
          <w:p w:rsidR="00C472E3" w:rsidRDefault="003673FA">
            <w:pPr>
              <w:spacing w:beforeAutospacing="1" w:afterAutospacing="1"/>
            </w:pPr>
            <w:r>
              <w:rPr>
                <w:color w:val="000000"/>
                <w:sz w:val="22"/>
              </w:rPr>
              <w:t>109</w:t>
            </w:r>
          </w:p>
        </w:tc>
        <w:tc>
          <w:tcPr>
            <w:tcW w:w="0" w:type="auto"/>
            <w:vAlign w:val="center"/>
          </w:tcPr>
          <w:p w:rsidR="00C472E3" w:rsidRDefault="003673FA">
            <w:pPr>
              <w:spacing w:beforeAutospacing="1" w:afterAutospacing="1"/>
            </w:pPr>
            <w:r>
              <w:rPr>
                <w:color w:val="000000"/>
                <w:sz w:val="22"/>
              </w:rPr>
              <w:t>116</w:t>
            </w:r>
          </w:p>
        </w:tc>
        <w:tc>
          <w:tcPr>
            <w:tcW w:w="0" w:type="auto"/>
            <w:vAlign w:val="center"/>
          </w:tcPr>
          <w:p w:rsidR="00C472E3" w:rsidRDefault="003673FA">
            <w:pPr>
              <w:spacing w:beforeAutospacing="1" w:afterAutospacing="1"/>
            </w:pPr>
            <w:r>
              <w:rPr>
                <w:color w:val="000000"/>
                <w:sz w:val="22"/>
              </w:rPr>
              <w:t xml:space="preserve">       106.42%</w:t>
            </w:r>
          </w:p>
        </w:tc>
      </w:tr>
      <w:tr w:rsidR="00C472E3">
        <w:trPr>
          <w:cantSplit/>
        </w:trPr>
        <w:tc>
          <w:tcPr>
            <w:tcW w:w="0" w:type="auto"/>
            <w:vAlign w:val="center"/>
          </w:tcPr>
          <w:p w:rsidR="00C472E3" w:rsidRDefault="003673FA">
            <w:pPr>
              <w:spacing w:beforeAutospacing="1" w:afterAutospacing="1"/>
            </w:pPr>
            <w:r>
              <w:rPr>
                <w:color w:val="000000"/>
                <w:sz w:val="22"/>
              </w:rPr>
              <w:t>Reduce homelessness and increase stability</w:t>
            </w:r>
          </w:p>
        </w:tc>
        <w:tc>
          <w:tcPr>
            <w:tcW w:w="0" w:type="auto"/>
            <w:vAlign w:val="center"/>
          </w:tcPr>
          <w:p w:rsidR="00C472E3" w:rsidRDefault="003673FA">
            <w:pPr>
              <w:spacing w:beforeAutospacing="1" w:afterAutospacing="1"/>
            </w:pPr>
            <w:r>
              <w:rPr>
                <w:color w:val="000000"/>
                <w:sz w:val="22"/>
              </w:rPr>
              <w:t>Homeless</w:t>
            </w:r>
            <w:r>
              <w:rPr>
                <w:color w:val="000000"/>
                <w:sz w:val="22"/>
              </w:rPr>
              <w:br/>
              <w:t>Non-Homeless Special Needs</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Homeless Person Overnight Shelter</w:t>
            </w:r>
          </w:p>
        </w:tc>
        <w:tc>
          <w:tcPr>
            <w:tcW w:w="0" w:type="auto"/>
            <w:vAlign w:val="center"/>
          </w:tcPr>
          <w:p w:rsidR="00C472E3" w:rsidRDefault="003673FA">
            <w:pPr>
              <w:spacing w:beforeAutospacing="1" w:afterAutospacing="1"/>
            </w:pPr>
            <w:r>
              <w:rPr>
                <w:color w:val="000000"/>
                <w:sz w:val="22"/>
              </w:rPr>
              <w:t>Persons Assisted</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 xml:space="preserve"> </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 xml:space="preserve"> </w:t>
            </w:r>
          </w:p>
        </w:tc>
      </w:tr>
      <w:tr w:rsidR="00C472E3">
        <w:trPr>
          <w:cantSplit/>
        </w:trPr>
        <w:tc>
          <w:tcPr>
            <w:tcW w:w="0" w:type="auto"/>
            <w:vAlign w:val="center"/>
          </w:tcPr>
          <w:p w:rsidR="00C472E3" w:rsidRDefault="003673FA">
            <w:pPr>
              <w:spacing w:beforeAutospacing="1" w:afterAutospacing="1"/>
            </w:pPr>
            <w:r>
              <w:rPr>
                <w:color w:val="000000"/>
                <w:sz w:val="22"/>
              </w:rPr>
              <w:t>Reduce homelessness and increase stability</w:t>
            </w:r>
          </w:p>
        </w:tc>
        <w:tc>
          <w:tcPr>
            <w:tcW w:w="0" w:type="auto"/>
            <w:vAlign w:val="center"/>
          </w:tcPr>
          <w:p w:rsidR="00C472E3" w:rsidRDefault="003673FA">
            <w:pPr>
              <w:spacing w:beforeAutospacing="1" w:afterAutospacing="1"/>
            </w:pPr>
            <w:r>
              <w:rPr>
                <w:color w:val="000000"/>
                <w:sz w:val="22"/>
              </w:rPr>
              <w:t>Homeless</w:t>
            </w:r>
            <w:r>
              <w:rPr>
                <w:color w:val="000000"/>
                <w:sz w:val="22"/>
              </w:rPr>
              <w:br/>
              <w:t>Non-Homeless Special Needs</w:t>
            </w:r>
          </w:p>
        </w:tc>
        <w:tc>
          <w:tcPr>
            <w:tcW w:w="0" w:type="auto"/>
            <w:vAlign w:val="center"/>
          </w:tcPr>
          <w:p w:rsidR="00C472E3" w:rsidRDefault="003673FA">
            <w:pPr>
              <w:spacing w:beforeAutospacing="1" w:afterAutospacing="1"/>
            </w:pPr>
            <w:r>
              <w:rPr>
                <w:color w:val="000000"/>
                <w:sz w:val="22"/>
              </w:rPr>
              <w:t>CDBG: $</w:t>
            </w:r>
          </w:p>
        </w:tc>
        <w:tc>
          <w:tcPr>
            <w:tcW w:w="0" w:type="auto"/>
            <w:vAlign w:val="center"/>
          </w:tcPr>
          <w:p w:rsidR="00C472E3" w:rsidRDefault="003673FA">
            <w:pPr>
              <w:spacing w:beforeAutospacing="1" w:afterAutospacing="1"/>
            </w:pPr>
            <w:r>
              <w:rPr>
                <w:color w:val="000000"/>
                <w:sz w:val="22"/>
              </w:rPr>
              <w:t>Overnight/Emergenc</w:t>
            </w:r>
            <w:r>
              <w:rPr>
                <w:color w:val="000000"/>
                <w:sz w:val="22"/>
              </w:rPr>
              <w:t>y Shelter/Transitional Housing Beds added</w:t>
            </w:r>
          </w:p>
        </w:tc>
        <w:tc>
          <w:tcPr>
            <w:tcW w:w="0" w:type="auto"/>
            <w:vAlign w:val="center"/>
          </w:tcPr>
          <w:p w:rsidR="00C472E3" w:rsidRDefault="003673FA">
            <w:pPr>
              <w:spacing w:beforeAutospacing="1" w:afterAutospacing="1"/>
            </w:pPr>
            <w:r>
              <w:rPr>
                <w:color w:val="000000"/>
                <w:sz w:val="22"/>
              </w:rPr>
              <w:t>Beds</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 xml:space="preserve"> </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0</w:t>
            </w:r>
          </w:p>
        </w:tc>
        <w:tc>
          <w:tcPr>
            <w:tcW w:w="0" w:type="auto"/>
            <w:vAlign w:val="center"/>
          </w:tcPr>
          <w:p w:rsidR="00C472E3" w:rsidRDefault="003673FA">
            <w:pPr>
              <w:spacing w:beforeAutospacing="1" w:afterAutospacing="1"/>
            </w:pPr>
            <w:r>
              <w:rPr>
                <w:color w:val="000000"/>
                <w:sz w:val="22"/>
              </w:rPr>
              <w:t xml:space="preserve"> </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rsidR="00C472E3" w:rsidRDefault="00C472E3"/>
    <w:p w:rsidR="00C472E3" w:rsidRDefault="00C472E3">
      <w:pPr>
        <w:spacing w:after="0" w:line="240" w:lineRule="auto"/>
      </w:pPr>
    </w:p>
    <w:p w:rsidR="00C472E3" w:rsidRDefault="003673FA">
      <w:pPr>
        <w:keepNext/>
        <w:widowControl w:val="0"/>
        <w:rPr>
          <w:b/>
          <w:sz w:val="24"/>
          <w:szCs w:val="24"/>
        </w:rPr>
      </w:pPr>
      <w:r>
        <w:rPr>
          <w:b/>
          <w:sz w:val="24"/>
          <w:szCs w:val="24"/>
        </w:rPr>
        <w:t xml:space="preserve">Assess how the jurisdiction’s use of funds, particularly CDBG, addresses the priorities and specific </w:t>
      </w:r>
      <w:r>
        <w:rPr>
          <w:b/>
          <w:sz w:val="24"/>
          <w:szCs w:val="24"/>
        </w:rPr>
        <w:t>objectives identified in the plan, giving special attention to the highest priority activities identified.</w:t>
      </w:r>
    </w:p>
    <w:p w:rsidR="00C472E3" w:rsidRDefault="003673FA">
      <w:pPr>
        <w:keepNext/>
        <w:widowControl w:val="0"/>
        <w:spacing w:beforeAutospacing="1" w:afterAutospacing="1"/>
      </w:pPr>
      <w:r>
        <w:t>For the activities funded in fiscal year 2022-23, grant dollars were allocated in the percentage guidelines shown below.  </w:t>
      </w:r>
    </w:p>
    <w:p w:rsidR="00C472E3" w:rsidRDefault="003673FA">
      <w:pPr>
        <w:keepNext/>
        <w:widowControl w:val="0"/>
        <w:spacing w:beforeAutospacing="1" w:afterAutospacing="1"/>
      </w:pPr>
      <w:r>
        <w:t>Public Facilities &amp; Improv</w:t>
      </w:r>
      <w:r>
        <w:t>ements - 25%</w:t>
      </w:r>
    </w:p>
    <w:p w:rsidR="00C472E3" w:rsidRDefault="003673FA">
      <w:pPr>
        <w:keepNext/>
        <w:widowControl w:val="0"/>
        <w:spacing w:beforeAutospacing="1" w:afterAutospacing="1"/>
      </w:pPr>
      <w:r>
        <w:t>Public Services - 15%</w:t>
      </w:r>
    </w:p>
    <w:p w:rsidR="00C472E3" w:rsidRDefault="003673FA">
      <w:pPr>
        <w:keepNext/>
        <w:widowControl w:val="0"/>
        <w:spacing w:beforeAutospacing="1" w:afterAutospacing="1"/>
      </w:pPr>
      <w:r>
        <w:t>Housing Rehab - 40%</w:t>
      </w:r>
    </w:p>
    <w:p w:rsidR="00C472E3" w:rsidRDefault="003673FA">
      <w:pPr>
        <w:keepNext/>
        <w:widowControl w:val="0"/>
        <w:spacing w:beforeAutospacing="1" w:afterAutospacing="1"/>
      </w:pPr>
      <w:r>
        <w:t>Administration - 20%</w:t>
      </w:r>
    </w:p>
    <w:p w:rsidR="00C472E3" w:rsidRDefault="003673FA">
      <w:pPr>
        <w:keepNext/>
        <w:widowControl w:val="0"/>
        <w:spacing w:beforeAutospacing="1" w:afterAutospacing="1"/>
      </w:pPr>
      <w:r>
        <w:t>Funding priorities are made by the Multnomah County Policy Advisory Board, based on the information provided by Community Need Hearing each year. The hearing for the 2022-23 planni</w:t>
      </w:r>
      <w:r>
        <w:t>ng was conducted in November 16, 2022. The meeting was conducted virtually in response to the COVID-19 pandemic. 2022-23 is the second year in the 2021-2025 Consolidated Plan. Overall Multnomah County has made good progress towards Con Plan goals.</w:t>
      </w:r>
    </w:p>
    <w:p w:rsidR="00C472E3" w:rsidRDefault="003673FA">
      <w:r>
        <w:rPr>
          <w:b/>
          <w:szCs w:val="24"/>
        </w:rPr>
        <w:t>Activity</w:t>
      </w:r>
      <w:r>
        <w:rPr>
          <w:b/>
          <w:szCs w:val="24"/>
        </w:rPr>
        <w:t xml:space="preserve"> Accomplishment Details - Goal 1</w:t>
      </w:r>
    </w:p>
    <w:p w:rsidR="00C472E3" w:rsidRDefault="003673FA">
      <w:pPr>
        <w:keepNext/>
        <w:widowControl w:val="0"/>
        <w:spacing w:beforeAutospacing="1" w:afterAutospacing="1"/>
        <w:rPr>
          <w:szCs w:val="24"/>
        </w:rPr>
      </w:pPr>
      <w:r>
        <w:t>Goal 1: Increase &amp; Preserve Affordable Housing Choice Housing Rehabilitation Sub-recipient: Unlimited Choices, Inc. provided its Adapt-A-Home and Mend-A-Home programs to 30 households of the projected 35. They fully expende</w:t>
      </w:r>
      <w:r>
        <w:t>d the allocation; the lower number of homes repaired or adapted reflects the increase in the cost of supplies and labor in the current market. UC continued to follow the protocols they developed early in the pandemic to keep recipients, contractors and sta</w:t>
      </w:r>
      <w:r>
        <w:t>ff safe.1.Adapt-A-Home ($57,855): Addresses the accessible housing needs for low-income people with physical disabilities, developmental disabilities, sensory disabilities and the frail elderly.  AAH assists these individuals in making their home/apartment</w:t>
      </w:r>
      <w:r>
        <w:t xml:space="preserve"> accessible by working with qualified building contractors.  These accessible units will be available in the community for others with physical disabilities or mobility impairments. Rehabilitative work includes shower/tub access; installation of grab bars,</w:t>
      </w:r>
      <w:r>
        <w:t xml:space="preserve"> raised toilets, ramps and walker steps, outside handrails, etc. 11 households served. 2.Mend-A-Home ($75,000): Addresses housing rehabilitation needs by providing critical home repair to certain elements of housing units that are in urgent need.  Critical</w:t>
      </w:r>
      <w:r>
        <w:t xml:space="preserve"> home repair is often outside the budget of low-income households. Repairs include repairs to roofs, gutters, plumbing, electrical, structural, or anything deemed </w:t>
      </w:r>
      <w:r>
        <w:lastRenderedPageBreak/>
        <w:t>essential to the health and safety of the homeowners, such as broken doors and/or windows, et</w:t>
      </w:r>
      <w:r>
        <w:t>c. 15 households served.</w:t>
      </w:r>
    </w:p>
    <w:p w:rsidR="00C472E3" w:rsidRDefault="003673FA">
      <w:r>
        <w:rPr>
          <w:b/>
          <w:szCs w:val="24"/>
        </w:rPr>
        <w:t>Activity Accomplishment Details - Goal 2</w:t>
      </w:r>
    </w:p>
    <w:p w:rsidR="00C472E3" w:rsidRDefault="003673FA">
      <w:pPr>
        <w:keepNext/>
        <w:widowControl w:val="0"/>
        <w:spacing w:beforeAutospacing="1" w:afterAutospacing="1"/>
        <w:rPr>
          <w:szCs w:val="24"/>
        </w:rPr>
      </w:pPr>
      <w:r>
        <w:t>Goal 2: Reduce Homelessness &amp; Increase Stability Public Service Sub-recipients: Four agencies provided Public Services to LMI residents in East Multnomah County; serving 116 individuals. All</w:t>
      </w:r>
      <w:r>
        <w:t xml:space="preserve"> sub-recipients developed new tools, materials and resources in the 2022-23 program year to continue to serve the community and promote stability while responding to the pandemic. Some of the pandemic-related changes have made services increasingly accessi</w:t>
      </w:r>
      <w:r>
        <w:t>ble for those who face barriers to participating in person (transportation, schedules, etc.); those changes will be sustained in the future. 1.Community Energy Project ($4,250): CEP Do-It Yourself Weatherization &amp; Energy Education Workshops provided educat</w:t>
      </w:r>
      <w:r>
        <w:t>ion and training in low-cost, small measure weatherization techniques and free materials to low-income residents in East Multnomah County.  Fifteen (15) households participated in workshops and received free materials to weatherize their homes. Energy educ</w:t>
      </w:r>
      <w:r>
        <w:t xml:space="preserve">ation classes enable LMI homeowners and renters to take energy-saving measures in future years to both reduce utility expenses and make their homes more energy efficient. 2.Community Alliance of Tenants ($7,190): Community Alliance of Tenants (CAT) served </w:t>
      </w:r>
      <w:r>
        <w:t xml:space="preserve">51 renters in East Multnomah County on the Renters' Rights Hotline, the annual goal was 3 workshops to serve up to 45 individuals and 30 individuals to receive council via their hotline call line.  CAT met their goal of up to 3 presentations for the year. </w:t>
      </w:r>
      <w:r>
        <w:t xml:space="preserve">CAT reached close to 2,000 people through 3 renters rights presentations. CAT tabled at MHCC Head Start &amp; East County Community Health Resource &amp; Health Fair that had a few hundred people in attendance. CAT provided tenant information such as fair housing </w:t>
      </w:r>
      <w:r>
        <w:t>law, lead poisoning prevention, and the importance of documentation in English and Spanish.  CAT continued to update content to reflect changing laws and collaborate with Legal Aid Services of Oregon. 3.Human Solutions, Inc. ($22,740): The Willow Tree Prog</w:t>
      </w:r>
      <w:r>
        <w:t xml:space="preserve">ram provided safe, stable, long-term housing and intensive services to 34 extremely low-income homeless individuals and 7 low income individuals.  A total of 41 individuals facing significant barriers to housing stability and income self-sufficiency.  All </w:t>
      </w:r>
      <w:r>
        <w:t>Willow Tree participants work with a Family Advocate and have additional support from client assistance funds to achieve their goals of stabilizing their housing, increasing their income, and providing a safe and supportive home environment to their childr</w:t>
      </w:r>
      <w:r>
        <w:t>en. 4.El Programa Hispano Catolico ($16,348): EPHC provided career development services to 9 individuals, modifying their curriculum and employing creative outreach (via video calls, flyer distribution in apartment complexes, internal referrals and present</w:t>
      </w:r>
      <w:r>
        <w:t>ations to high school students) to support participants despite the unprecedented challenges the pandemic brought many of them. Services included GED preparation, English literacy, career coaching, career exploration and post-secondary education exploratio</w:t>
      </w:r>
      <w:r>
        <w:t>n in conjunction with the EPHC Adult Education program. Career navigation and job application support were also provided.</w:t>
      </w:r>
    </w:p>
    <w:p w:rsidR="00C472E3" w:rsidRDefault="003673FA">
      <w:r>
        <w:rPr>
          <w:b/>
          <w:szCs w:val="24"/>
        </w:rPr>
        <w:t>Activity Accomplishment Details - Goal 3</w:t>
      </w:r>
    </w:p>
    <w:p w:rsidR="00C472E3" w:rsidRDefault="003673FA">
      <w:pPr>
        <w:keepNext/>
        <w:widowControl w:val="0"/>
        <w:spacing w:beforeAutospacing="1" w:afterAutospacing="1"/>
        <w:rPr>
          <w:szCs w:val="24"/>
        </w:rPr>
      </w:pPr>
      <w:r>
        <w:lastRenderedPageBreak/>
        <w:t>Goal 3: Infrastructure, Facilities, and Economic Opportunities  City of Fairview - NE 3rd Street Sidewalk Infill ($80,000): Installation of sidewalks in the City's Old Town Neighborhood, with a focus on those areas where pedestrian sidewalks were inadequat</w:t>
      </w:r>
      <w:r>
        <w:t>e and a safety concern. This sidewalk infill project will improve accessibility for all residents.Activities Linked to Prior Con PlanTwo rent assistance projects linked to the 2019-20 Annual Action Plan continued into the 2022-23 fiscal year.  These progra</w:t>
      </w:r>
      <w:r>
        <w:t>ms did not pull into the table because they are linked to a previous 2016-2020 Consolidated Plan.  Those assisted with CDBG-CV funds are summarized in the PR-10.</w:t>
      </w:r>
    </w:p>
    <w:p w:rsidR="00C472E3" w:rsidRDefault="00C472E3">
      <w:pPr>
        <w:keepNext/>
        <w:widowControl w:val="0"/>
        <w:spacing w:line="204" w:lineRule="auto"/>
        <w:rPr>
          <w:b/>
          <w:sz w:val="24"/>
          <w:szCs w:val="24"/>
        </w:rPr>
      </w:pPr>
    </w:p>
    <w:p w:rsidR="00C472E3" w:rsidRDefault="00C472E3">
      <w:pPr>
        <w:rPr>
          <w:b/>
          <w:i/>
          <w:sz w:val="26"/>
          <w:szCs w:val="26"/>
        </w:rPr>
        <w:sectPr w:rsidR="00C472E3">
          <w:footerReference w:type="default" r:id="rId8"/>
          <w:pgSz w:w="15840" w:h="12240" w:orient="landscape"/>
          <w:pgMar w:top="1440" w:right="1440" w:bottom="1440" w:left="1440" w:header="720" w:footer="720" w:gutter="0"/>
          <w:cols w:space="720"/>
          <w:docGrid w:linePitch="360"/>
        </w:sectPr>
      </w:pPr>
    </w:p>
    <w:p w:rsidR="00C472E3" w:rsidRDefault="003673FA">
      <w:pPr>
        <w:pStyle w:val="Heading2"/>
        <w:rPr>
          <w:rFonts w:asciiTheme="minorHAnsi" w:hAnsiTheme="minorHAnsi"/>
          <w:i w:val="0"/>
        </w:rPr>
      </w:pPr>
      <w:bookmarkStart w:id="1" w:name="_Toc309810474"/>
      <w:r>
        <w:rPr>
          <w:rFonts w:asciiTheme="minorHAnsi" w:hAnsiTheme="minorHAnsi"/>
          <w:i w:val="0"/>
        </w:rPr>
        <w:lastRenderedPageBreak/>
        <w:t>CR-10 - Racial and Ethnic composition of families assisted</w:t>
      </w:r>
    </w:p>
    <w:p w:rsidR="00C472E3" w:rsidRDefault="003673FA">
      <w:pPr>
        <w:keepNext/>
        <w:widowControl w:val="0"/>
        <w:rPr>
          <w:b/>
          <w:sz w:val="24"/>
          <w:szCs w:val="24"/>
        </w:rPr>
      </w:pPr>
      <w:r>
        <w:rPr>
          <w:b/>
          <w:sz w:val="24"/>
          <w:szCs w:val="24"/>
        </w:rPr>
        <w:t xml:space="preserve">Describe the families assisted (including the racial and ethnic status of families assisted). 91.520(a) </w:t>
      </w:r>
    </w:p>
    <w:p w:rsidR="00C472E3" w:rsidRDefault="00C472E3">
      <w:pPr>
        <w:widowControl w:val="0"/>
        <w:spacing w:after="0" w:line="240" w:lineRule="auto"/>
        <w:rPr>
          <w:b/>
          <w:vanish/>
          <w:sz w:val="24"/>
          <w:szCs w:val="24"/>
        </w:rPr>
      </w:pPr>
    </w:p>
    <w:tbl>
      <w:tblPr>
        <w:tblW w:w="33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tblGrid>
      <w:tr w:rsidR="00C472E3">
        <w:trPr>
          <w:cantSplit/>
          <w:hidden/>
        </w:trPr>
        <w:tc>
          <w:tcPr>
            <w:tcW w:w="3773" w:type="pct"/>
          </w:tcPr>
          <w:p w:rsidR="00C472E3" w:rsidRDefault="00C472E3">
            <w:pPr>
              <w:widowControl w:val="0"/>
              <w:spacing w:after="0" w:line="240" w:lineRule="auto"/>
              <w:rPr>
                <w:vanish/>
              </w:rPr>
            </w:pPr>
          </w:p>
        </w:tc>
        <w:tc>
          <w:tcPr>
            <w:tcW w:w="1226" w:type="pct"/>
          </w:tcPr>
          <w:p w:rsidR="00C472E3" w:rsidRDefault="003673FA">
            <w:pPr>
              <w:spacing w:after="0"/>
              <w:jc w:val="center"/>
              <w:rPr>
                <w:b/>
              </w:rPr>
            </w:pPr>
            <w:r>
              <w:rPr>
                <w:b/>
              </w:rPr>
              <w:t>CDBG</w:t>
            </w:r>
          </w:p>
        </w:tc>
      </w:tr>
      <w:tr w:rsidR="00C472E3">
        <w:trPr>
          <w:cantSplit/>
        </w:trPr>
        <w:tc>
          <w:tcPr>
            <w:tcW w:w="4823" w:type="dxa"/>
            <w:vAlign w:val="bottom"/>
          </w:tcPr>
          <w:p w:rsidR="00C472E3" w:rsidRDefault="003673FA">
            <w:pPr>
              <w:spacing w:beforeAutospacing="1" w:afterAutospacing="1"/>
            </w:pPr>
            <w:r>
              <w:rPr>
                <w:color w:val="000000"/>
              </w:rPr>
              <w:t>White</w:t>
            </w:r>
          </w:p>
        </w:tc>
        <w:tc>
          <w:tcPr>
            <w:tcW w:w="1568" w:type="dxa"/>
            <w:vAlign w:val="bottom"/>
          </w:tcPr>
          <w:p w:rsidR="00C472E3" w:rsidRDefault="003673FA">
            <w:pPr>
              <w:spacing w:beforeAutospacing="1" w:afterAutospacing="1"/>
              <w:jc w:val="right"/>
            </w:pPr>
            <w:r>
              <w:rPr>
                <w:color w:val="000000"/>
              </w:rPr>
              <w:t>53</w:t>
            </w:r>
          </w:p>
        </w:tc>
      </w:tr>
      <w:tr w:rsidR="00C472E3">
        <w:trPr>
          <w:cantSplit/>
        </w:trPr>
        <w:tc>
          <w:tcPr>
            <w:tcW w:w="4823" w:type="dxa"/>
            <w:vAlign w:val="bottom"/>
          </w:tcPr>
          <w:p w:rsidR="00C472E3" w:rsidRDefault="003673FA">
            <w:pPr>
              <w:spacing w:beforeAutospacing="1" w:afterAutospacing="1"/>
            </w:pPr>
            <w:r>
              <w:rPr>
                <w:color w:val="000000"/>
              </w:rPr>
              <w:t>Black or African American</w:t>
            </w:r>
          </w:p>
        </w:tc>
        <w:tc>
          <w:tcPr>
            <w:tcW w:w="1568" w:type="dxa"/>
            <w:vAlign w:val="bottom"/>
          </w:tcPr>
          <w:p w:rsidR="00C472E3" w:rsidRDefault="003673FA">
            <w:pPr>
              <w:spacing w:beforeAutospacing="1" w:afterAutospacing="1"/>
              <w:jc w:val="right"/>
            </w:pPr>
            <w:r>
              <w:rPr>
                <w:color w:val="000000"/>
              </w:rPr>
              <w:t>20</w:t>
            </w:r>
          </w:p>
        </w:tc>
      </w:tr>
      <w:tr w:rsidR="00C472E3">
        <w:trPr>
          <w:cantSplit/>
        </w:trPr>
        <w:tc>
          <w:tcPr>
            <w:tcW w:w="4823" w:type="dxa"/>
            <w:vAlign w:val="bottom"/>
          </w:tcPr>
          <w:p w:rsidR="00C472E3" w:rsidRDefault="003673FA">
            <w:pPr>
              <w:spacing w:beforeAutospacing="1" w:afterAutospacing="1"/>
            </w:pPr>
            <w:r>
              <w:rPr>
                <w:color w:val="000000"/>
              </w:rPr>
              <w:t>Asian</w:t>
            </w:r>
          </w:p>
        </w:tc>
        <w:tc>
          <w:tcPr>
            <w:tcW w:w="1568" w:type="dxa"/>
            <w:vAlign w:val="bottom"/>
          </w:tcPr>
          <w:p w:rsidR="00C472E3" w:rsidRDefault="003673FA">
            <w:pPr>
              <w:spacing w:beforeAutospacing="1" w:afterAutospacing="1"/>
              <w:jc w:val="right"/>
            </w:pPr>
            <w:r>
              <w:rPr>
                <w:color w:val="000000"/>
              </w:rPr>
              <w:t>2</w:t>
            </w:r>
          </w:p>
        </w:tc>
      </w:tr>
      <w:tr w:rsidR="00C472E3">
        <w:trPr>
          <w:cantSplit/>
        </w:trPr>
        <w:tc>
          <w:tcPr>
            <w:tcW w:w="4823" w:type="dxa"/>
            <w:vAlign w:val="bottom"/>
          </w:tcPr>
          <w:p w:rsidR="00C472E3" w:rsidRDefault="003673FA">
            <w:pPr>
              <w:spacing w:beforeAutospacing="1" w:afterAutospacing="1"/>
            </w:pPr>
            <w:r>
              <w:rPr>
                <w:color w:val="000000"/>
              </w:rPr>
              <w:t>American Indian or American Native</w:t>
            </w:r>
          </w:p>
        </w:tc>
        <w:tc>
          <w:tcPr>
            <w:tcW w:w="1568" w:type="dxa"/>
            <w:vAlign w:val="bottom"/>
          </w:tcPr>
          <w:p w:rsidR="00C472E3" w:rsidRDefault="003673FA">
            <w:pPr>
              <w:spacing w:beforeAutospacing="1" w:afterAutospacing="1"/>
              <w:jc w:val="right"/>
            </w:pPr>
            <w:r>
              <w:rPr>
                <w:color w:val="000000"/>
              </w:rPr>
              <w:t>3</w:t>
            </w:r>
          </w:p>
        </w:tc>
      </w:tr>
      <w:tr w:rsidR="00C472E3">
        <w:trPr>
          <w:cantSplit/>
        </w:trPr>
        <w:tc>
          <w:tcPr>
            <w:tcW w:w="4823" w:type="dxa"/>
            <w:vAlign w:val="bottom"/>
          </w:tcPr>
          <w:p w:rsidR="00C472E3" w:rsidRDefault="003673FA">
            <w:pPr>
              <w:spacing w:beforeAutospacing="1" w:afterAutospacing="1"/>
            </w:pPr>
            <w:r>
              <w:rPr>
                <w:color w:val="000000"/>
              </w:rPr>
              <w:t>Native Hawaiian or Other Pacific Islander</w:t>
            </w:r>
          </w:p>
        </w:tc>
        <w:tc>
          <w:tcPr>
            <w:tcW w:w="1568" w:type="dxa"/>
            <w:vAlign w:val="bottom"/>
          </w:tcPr>
          <w:p w:rsidR="00C472E3" w:rsidRDefault="003673FA">
            <w:pPr>
              <w:spacing w:beforeAutospacing="1" w:afterAutospacing="1"/>
              <w:jc w:val="right"/>
            </w:pPr>
            <w:r>
              <w:rPr>
                <w:color w:val="000000"/>
              </w:rPr>
              <w:t>0</w:t>
            </w:r>
          </w:p>
        </w:tc>
      </w:tr>
    </w:tbl>
    <w:p w:rsidR="00C472E3" w:rsidRDefault="00C472E3">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gridCol w:w="21"/>
      </w:tblGrid>
      <w:tr w:rsidR="00C472E3">
        <w:trPr>
          <w:cantSplit/>
          <w:hidden/>
        </w:trPr>
        <w:tc>
          <w:tcPr>
            <w:tcW w:w="3761" w:type="pct"/>
          </w:tcPr>
          <w:p w:rsidR="00C472E3" w:rsidRDefault="00C472E3">
            <w:pPr>
              <w:widowControl w:val="0"/>
              <w:spacing w:after="0" w:line="240" w:lineRule="auto"/>
              <w:rPr>
                <w:vanish/>
              </w:rPr>
            </w:pPr>
          </w:p>
        </w:tc>
        <w:tc>
          <w:tcPr>
            <w:tcW w:w="1239" w:type="pct"/>
            <w:gridSpan w:val="2"/>
          </w:tcPr>
          <w:p w:rsidR="00C472E3" w:rsidRDefault="00C472E3">
            <w:pPr>
              <w:widowControl w:val="0"/>
              <w:spacing w:after="0" w:line="240" w:lineRule="auto"/>
              <w:jc w:val="center"/>
              <w:rPr>
                <w:b/>
                <w:vanish/>
              </w:rPr>
            </w:pPr>
          </w:p>
        </w:tc>
      </w:tr>
      <w:tr w:rsidR="00C472E3">
        <w:trPr>
          <w:gridAfter w:val="1"/>
          <w:wAfter w:w="21" w:type="dxa"/>
          <w:cantSplit/>
        </w:trPr>
        <w:tc>
          <w:tcPr>
            <w:tcW w:w="4823" w:type="dxa"/>
            <w:vAlign w:val="bottom"/>
          </w:tcPr>
          <w:p w:rsidR="00C472E3" w:rsidRDefault="003673FA">
            <w:pPr>
              <w:spacing w:beforeAutospacing="1" w:afterAutospacing="1"/>
            </w:pPr>
            <w:r>
              <w:rPr>
                <w:b/>
                <w:color w:val="000000"/>
              </w:rPr>
              <w:t>Total</w:t>
            </w:r>
          </w:p>
        </w:tc>
        <w:tc>
          <w:tcPr>
            <w:tcW w:w="1568" w:type="dxa"/>
            <w:vAlign w:val="bottom"/>
          </w:tcPr>
          <w:p w:rsidR="00C472E3" w:rsidRDefault="003673FA">
            <w:pPr>
              <w:spacing w:beforeAutospacing="1" w:afterAutospacing="1"/>
              <w:jc w:val="right"/>
            </w:pPr>
            <w:r>
              <w:rPr>
                <w:b/>
                <w:color w:val="000000"/>
              </w:rPr>
              <w:t>78</w:t>
            </w:r>
          </w:p>
        </w:tc>
      </w:tr>
    </w:tbl>
    <w:p w:rsidR="00C472E3" w:rsidRDefault="00C472E3">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gridCol w:w="21"/>
      </w:tblGrid>
      <w:tr w:rsidR="00C472E3">
        <w:trPr>
          <w:cantSplit/>
          <w:hidden/>
        </w:trPr>
        <w:tc>
          <w:tcPr>
            <w:tcW w:w="3761" w:type="pct"/>
          </w:tcPr>
          <w:p w:rsidR="00C472E3" w:rsidRDefault="00C472E3">
            <w:pPr>
              <w:widowControl w:val="0"/>
              <w:spacing w:after="0" w:line="240" w:lineRule="auto"/>
              <w:rPr>
                <w:vanish/>
              </w:rPr>
            </w:pPr>
          </w:p>
        </w:tc>
        <w:tc>
          <w:tcPr>
            <w:tcW w:w="1239" w:type="pct"/>
            <w:gridSpan w:val="2"/>
          </w:tcPr>
          <w:p w:rsidR="00C472E3" w:rsidRDefault="00C472E3">
            <w:pPr>
              <w:widowControl w:val="0"/>
              <w:spacing w:after="0" w:line="240" w:lineRule="auto"/>
              <w:jc w:val="center"/>
              <w:rPr>
                <w:b/>
                <w:vanish/>
              </w:rPr>
            </w:pPr>
          </w:p>
        </w:tc>
      </w:tr>
      <w:tr w:rsidR="00C472E3">
        <w:trPr>
          <w:gridAfter w:val="1"/>
          <w:wAfter w:w="21" w:type="dxa"/>
          <w:cantSplit/>
        </w:trPr>
        <w:tc>
          <w:tcPr>
            <w:tcW w:w="4823" w:type="dxa"/>
            <w:vAlign w:val="bottom"/>
          </w:tcPr>
          <w:p w:rsidR="00C472E3" w:rsidRDefault="003673FA">
            <w:pPr>
              <w:spacing w:beforeAutospacing="1" w:afterAutospacing="1"/>
            </w:pPr>
            <w:r>
              <w:rPr>
                <w:color w:val="000000"/>
              </w:rPr>
              <w:t>Hispanic</w:t>
            </w:r>
          </w:p>
        </w:tc>
        <w:tc>
          <w:tcPr>
            <w:tcW w:w="1568" w:type="dxa"/>
            <w:vAlign w:val="bottom"/>
          </w:tcPr>
          <w:p w:rsidR="00C472E3" w:rsidRDefault="003673FA">
            <w:pPr>
              <w:spacing w:beforeAutospacing="1" w:afterAutospacing="1"/>
              <w:jc w:val="right"/>
            </w:pPr>
            <w:r>
              <w:rPr>
                <w:color w:val="000000"/>
              </w:rPr>
              <w:t>32</w:t>
            </w:r>
          </w:p>
        </w:tc>
      </w:tr>
      <w:tr w:rsidR="00C472E3">
        <w:trPr>
          <w:gridAfter w:val="1"/>
          <w:wAfter w:w="21" w:type="dxa"/>
          <w:cantSplit/>
        </w:trPr>
        <w:tc>
          <w:tcPr>
            <w:tcW w:w="4823" w:type="dxa"/>
            <w:vAlign w:val="bottom"/>
          </w:tcPr>
          <w:p w:rsidR="00C472E3" w:rsidRDefault="003673FA">
            <w:pPr>
              <w:spacing w:beforeAutospacing="1" w:afterAutospacing="1"/>
            </w:pPr>
            <w:r>
              <w:rPr>
                <w:color w:val="000000"/>
              </w:rPr>
              <w:t>Not Hispanic</w:t>
            </w:r>
          </w:p>
        </w:tc>
        <w:tc>
          <w:tcPr>
            <w:tcW w:w="1568" w:type="dxa"/>
            <w:vAlign w:val="bottom"/>
          </w:tcPr>
          <w:p w:rsidR="00C472E3" w:rsidRDefault="003673FA">
            <w:pPr>
              <w:spacing w:beforeAutospacing="1" w:afterAutospacing="1"/>
              <w:jc w:val="right"/>
            </w:pPr>
            <w:r>
              <w:rPr>
                <w:color w:val="000000"/>
              </w:rPr>
              <w:t>36</w:t>
            </w:r>
          </w:p>
        </w:tc>
      </w:tr>
    </w:tbl>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keepNext/>
        <w:widowControl w:val="0"/>
        <w:spacing w:after="0" w:line="240" w:lineRule="auto"/>
        <w:rPr>
          <w:b/>
          <w:vanish/>
          <w:sz w:val="24"/>
          <w:szCs w:val="24"/>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C472E3">
      <w:pPr>
        <w:pStyle w:val="NoSpacing"/>
        <w:rPr>
          <w:vanish/>
        </w:rPr>
      </w:pPr>
    </w:p>
    <w:p w:rsidR="00C472E3" w:rsidRDefault="003673FA">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C472E3" w:rsidRDefault="00C472E3">
      <w:pPr>
        <w:widowControl w:val="0"/>
        <w:rPr>
          <w:b/>
          <w:sz w:val="24"/>
          <w:szCs w:val="24"/>
        </w:rPr>
      </w:pPr>
    </w:p>
    <w:p w:rsidR="00C472E3" w:rsidRDefault="003673FA">
      <w:pPr>
        <w:widowControl w:val="0"/>
        <w:rPr>
          <w:b/>
          <w:sz w:val="24"/>
          <w:szCs w:val="24"/>
        </w:rPr>
      </w:pPr>
      <w:r>
        <w:rPr>
          <w:b/>
          <w:sz w:val="24"/>
          <w:szCs w:val="24"/>
        </w:rPr>
        <w:t>Narrative</w:t>
      </w:r>
    </w:p>
    <w:p w:rsidR="00C472E3" w:rsidRDefault="003673FA">
      <w:pPr>
        <w:widowControl w:val="0"/>
        <w:spacing w:beforeAutospacing="1" w:afterAutospacing="1"/>
      </w:pPr>
      <w:r>
        <w:t xml:space="preserve">Multnomah County's CDBG Program serves a variety of racial and ethnic diversity in its programs. Multnomah County’s subrecipient agencies for Housing Rehabilitation and </w:t>
      </w:r>
      <w:r>
        <w:t>Public Services record income and demographic information on all individuals who receive services provided with CDBG funds.  Quarterly reports on income and demographic information are required for all subrecipient agencies.  These quarterly reports by cou</w:t>
      </w:r>
      <w:r>
        <w:t>nty staff and data is reviewed upon submission and during the yearly program monitoring process.</w:t>
      </w:r>
    </w:p>
    <w:p w:rsidR="00C472E3" w:rsidRDefault="003673FA">
      <w:pPr>
        <w:widowControl w:val="0"/>
        <w:spacing w:beforeAutospacing="1" w:afterAutospacing="1"/>
      </w:pPr>
      <w:r>
        <w:t>According to 2022 U.S. Census estimates, Multnomah County's racial/ethnic composition is 78.6% White, 8.2% Asian, 6% African American, 1.5% Native American, .7</w:t>
      </w:r>
      <w:r>
        <w:t>% Pacific Islander and 5% “Other” or Two or More Races.  Of this population, 12.7% identify as Hispanic or Latino. It is estimated Multnomah County is home to 795,083 residents. According to the most recent census data City of Troutdale has a population of</w:t>
      </w:r>
      <w:r>
        <w:t xml:space="preserve"> 15,686 residents, Fairview has a population of 10,768 residents, City of Wood Village has a population of 4,775 residents, and Maywood Park has a population of 809 residents. </w:t>
      </w:r>
    </w:p>
    <w:p w:rsidR="00C472E3" w:rsidRDefault="003673FA">
      <w:pPr>
        <w:widowControl w:val="0"/>
        <w:spacing w:beforeAutospacing="1" w:afterAutospacing="1"/>
      </w:pPr>
      <w:r>
        <w:t>The table above only includes CDBG funded activities in the 2022-23 Annual Acti</w:t>
      </w:r>
      <w:r>
        <w:t>on Plan that serve individuals in the race categories listed.  Activities that serve households do not populate in the table and some ethnicities are not represented in the table, resulting in a smaller number served displaying.  The CDBG-CV accomplishment</w:t>
      </w:r>
      <w:r>
        <w:t>s and any accomplishments linked to a previous Annual Action Plan were also removed from this table so that it reflects 2022-23 CDBG funded projects only. A total of 116 individuals were assisted through public services with CDBG funds for 2022-23, of thos</w:t>
      </w:r>
      <w:r>
        <w:t>e individuals 32 identified as Hispanic. </w:t>
      </w:r>
    </w:p>
    <w:p w:rsidR="00C472E3" w:rsidRDefault="003673FA">
      <w:pPr>
        <w:widowControl w:val="0"/>
        <w:spacing w:beforeAutospacing="1" w:afterAutospacing="1"/>
      </w:pPr>
      <w:r>
        <w:lastRenderedPageBreak/>
        <w:t>*Note: We were unable to add content for racial groups that were served, but whose racial demographic was not included on the above table. Although this information is captured in IDIS it does not report in the CAP</w:t>
      </w:r>
      <w:r>
        <w:t>ER data. </w:t>
      </w:r>
    </w:p>
    <w:p w:rsidR="00C472E3" w:rsidRDefault="003673FA">
      <w:pPr>
        <w:widowControl w:val="0"/>
        <w:spacing w:beforeAutospacing="1" w:afterAutospacing="1"/>
      </w:pPr>
      <w:r>
        <w:t>The above data table does not include individuals who identified as:</w:t>
      </w:r>
    </w:p>
    <w:p w:rsidR="00C472E3" w:rsidRDefault="003673FA">
      <w:pPr>
        <w:widowControl w:val="0"/>
        <w:spacing w:beforeAutospacing="1" w:afterAutospacing="1"/>
      </w:pPr>
      <w:r>
        <w:t> </w:t>
      </w:r>
    </w:p>
    <w:p w:rsidR="00C472E3" w:rsidRDefault="003673FA">
      <w:pPr>
        <w:widowControl w:val="0"/>
        <w:spacing w:beforeAutospacing="1" w:afterAutospacing="1"/>
      </w:pPr>
      <w:r>
        <w:t>Asian &amp; White = 2</w:t>
      </w:r>
    </w:p>
    <w:p w:rsidR="00C472E3" w:rsidRDefault="003673FA">
      <w:pPr>
        <w:widowControl w:val="0"/>
        <w:spacing w:beforeAutospacing="1" w:afterAutospacing="1"/>
      </w:pPr>
      <w:r>
        <w:t>Black/African-American &amp; White = 1</w:t>
      </w:r>
    </w:p>
    <w:p w:rsidR="00C472E3" w:rsidRDefault="003673FA">
      <w:pPr>
        <w:widowControl w:val="0"/>
        <w:spacing w:beforeAutospacing="1" w:afterAutospacing="1"/>
      </w:pPr>
      <w:r>
        <w:t>Other Multi-Racial = 35</w:t>
      </w:r>
    </w:p>
    <w:p w:rsidR="00C472E3" w:rsidRDefault="003673FA">
      <w:pPr>
        <w:widowControl w:val="0"/>
        <w:spacing w:beforeAutospacing="1" w:afterAutospacing="1"/>
      </w:pPr>
      <w:r>
        <w:t>Ethnicity Unknown = 48</w:t>
      </w:r>
    </w:p>
    <w:p w:rsidR="00C472E3" w:rsidRDefault="003673FA">
      <w:pPr>
        <w:widowControl w:val="0"/>
        <w:spacing w:beforeAutospacing="1" w:afterAutospacing="1"/>
      </w:pPr>
      <w:r>
        <w:t> </w:t>
      </w:r>
    </w:p>
    <w:p w:rsidR="00C472E3" w:rsidRDefault="003673FA">
      <w:pPr>
        <w:widowControl w:val="0"/>
        <w:spacing w:beforeAutospacing="1" w:afterAutospacing="1"/>
      </w:pPr>
      <w:r>
        <w:rPr>
          <w:b/>
        </w:rPr>
        <w:t>CDBG-CV for PY2022</w:t>
      </w:r>
    </w:p>
    <w:p w:rsidR="00C472E3" w:rsidRDefault="003673FA">
      <w:pPr>
        <w:widowControl w:val="0"/>
        <w:spacing w:beforeAutospacing="1" w:afterAutospacing="1"/>
      </w:pPr>
      <w:r>
        <w:t>The attached table below includes all racial and ethni</w:t>
      </w:r>
      <w:r>
        <w:t>c categories for CDBG-CV funded activities that are under Action Plan 2019-20 and includes accomplishments for activities serving households.  The two subgrantees that carried out the Covid-19 rent and utility assistance were Latino Network Inc and El Prog</w:t>
      </w:r>
      <w:r>
        <w:t>rama Hispano Catolico. These emergency rent assistance and utility funds assisted 57 total individuals, with 53 identifying as Hispanic or Latinx/e. </w:t>
      </w:r>
    </w:p>
    <w:p w:rsidR="00C472E3" w:rsidRDefault="003673FA">
      <w:pPr>
        <w:widowControl w:val="0"/>
        <w:spacing w:beforeAutospacing="1" w:afterAutospacing="1"/>
      </w:pPr>
      <w:r>
        <w:t> </w:t>
      </w:r>
    </w:p>
    <w:p w:rsidR="00C472E3" w:rsidRDefault="00C472E3">
      <w:pPr>
        <w:widowControl w:val="0"/>
      </w:pPr>
    </w:p>
    <w:p w:rsidR="00C472E3" w:rsidRDefault="00C472E3">
      <w:pPr>
        <w:sectPr w:rsidR="00C472E3">
          <w:pgSz w:w="12240" w:h="15840" w:code="1"/>
          <w:pgMar w:top="1440" w:right="1440" w:bottom="1440" w:left="1440" w:header="720" w:footer="720" w:gutter="0"/>
          <w:cols w:space="720"/>
          <w:docGrid w:linePitch="360"/>
        </w:sectPr>
      </w:pPr>
    </w:p>
    <w:bookmarkEnd w:id="1"/>
    <w:p w:rsidR="00C472E3" w:rsidRDefault="003673FA">
      <w:pPr>
        <w:pStyle w:val="Heading2"/>
        <w:rPr>
          <w:rFonts w:ascii="Calibri" w:hAnsi="Calibri"/>
          <w:i w:val="0"/>
        </w:rPr>
      </w:pPr>
      <w:r>
        <w:rPr>
          <w:rFonts w:ascii="Calibri" w:hAnsi="Calibri"/>
          <w:i w:val="0"/>
        </w:rPr>
        <w:lastRenderedPageBreak/>
        <w:t>CR-15 - Resources and Investments 91.520(a)</w:t>
      </w:r>
    </w:p>
    <w:p w:rsidR="00C472E3" w:rsidRDefault="003673FA">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472E3">
        <w:trPr>
          <w:cantSplit/>
        </w:trPr>
        <w:tc>
          <w:tcPr>
            <w:tcW w:w="2394" w:type="dxa"/>
          </w:tcPr>
          <w:p w:rsidR="00C472E3" w:rsidRDefault="003673FA">
            <w:pPr>
              <w:keepNext/>
              <w:widowControl w:val="0"/>
              <w:spacing w:after="0" w:line="240" w:lineRule="auto"/>
              <w:jc w:val="center"/>
              <w:rPr>
                <w:rFonts w:cs="Arial"/>
                <w:b/>
              </w:rPr>
            </w:pPr>
            <w:r>
              <w:rPr>
                <w:rFonts w:cs="Arial"/>
                <w:b/>
              </w:rPr>
              <w:t>Source of Funds</w:t>
            </w:r>
          </w:p>
        </w:tc>
        <w:tc>
          <w:tcPr>
            <w:tcW w:w="2394" w:type="dxa"/>
          </w:tcPr>
          <w:p w:rsidR="00C472E3" w:rsidRDefault="003673FA">
            <w:pPr>
              <w:keepNext/>
              <w:widowControl w:val="0"/>
              <w:spacing w:after="0" w:line="240" w:lineRule="auto"/>
              <w:jc w:val="center"/>
              <w:rPr>
                <w:rFonts w:cs="Arial"/>
                <w:b/>
              </w:rPr>
            </w:pPr>
            <w:r>
              <w:rPr>
                <w:rFonts w:cs="Arial"/>
                <w:b/>
              </w:rPr>
              <w:t>Source</w:t>
            </w:r>
          </w:p>
        </w:tc>
        <w:tc>
          <w:tcPr>
            <w:tcW w:w="2394" w:type="dxa"/>
          </w:tcPr>
          <w:p w:rsidR="00C472E3" w:rsidRDefault="003673FA">
            <w:pPr>
              <w:keepNext/>
              <w:spacing w:after="0" w:line="240" w:lineRule="auto"/>
              <w:jc w:val="center"/>
              <w:rPr>
                <w:rFonts w:cs="Arial"/>
                <w:b/>
              </w:rPr>
            </w:pPr>
            <w:r>
              <w:rPr>
                <w:rFonts w:cs="Arial"/>
                <w:b/>
              </w:rPr>
              <w:t>Resources Made Available</w:t>
            </w:r>
          </w:p>
        </w:tc>
        <w:tc>
          <w:tcPr>
            <w:tcW w:w="2394" w:type="dxa"/>
          </w:tcPr>
          <w:p w:rsidR="00C472E3" w:rsidRDefault="003673FA">
            <w:pPr>
              <w:keepNext/>
              <w:widowControl w:val="0"/>
              <w:spacing w:after="0" w:line="240" w:lineRule="auto"/>
              <w:jc w:val="center"/>
              <w:rPr>
                <w:rFonts w:cs="Arial"/>
                <w:b/>
              </w:rPr>
            </w:pPr>
            <w:r>
              <w:rPr>
                <w:rFonts w:cs="Arial"/>
                <w:b/>
              </w:rPr>
              <w:t>Amount Expended During Program Year</w:t>
            </w:r>
          </w:p>
        </w:tc>
      </w:tr>
      <w:tr w:rsidR="00C472E3">
        <w:trPr>
          <w:cantSplit/>
        </w:trPr>
        <w:tc>
          <w:tcPr>
            <w:tcW w:w="0" w:type="auto"/>
            <w:vAlign w:val="bottom"/>
          </w:tcPr>
          <w:p w:rsidR="00C472E3" w:rsidRDefault="003673FA">
            <w:pPr>
              <w:spacing w:beforeAutospacing="1" w:afterAutospacing="1"/>
            </w:pPr>
            <w:r>
              <w:rPr>
                <w:color w:val="000000"/>
              </w:rPr>
              <w:t>CDBG</w:t>
            </w:r>
          </w:p>
        </w:tc>
        <w:tc>
          <w:tcPr>
            <w:tcW w:w="0" w:type="auto"/>
            <w:vAlign w:val="bottom"/>
          </w:tcPr>
          <w:p w:rsidR="00C472E3" w:rsidRDefault="003673FA">
            <w:pPr>
              <w:spacing w:beforeAutospacing="1" w:afterAutospacing="1"/>
            </w:pPr>
            <w:r>
              <w:rPr>
                <w:color w:val="000000"/>
              </w:rPr>
              <w:t>public - federal</w:t>
            </w:r>
          </w:p>
        </w:tc>
        <w:tc>
          <w:tcPr>
            <w:tcW w:w="0" w:type="auto"/>
            <w:vAlign w:val="bottom"/>
          </w:tcPr>
          <w:p w:rsidR="00C472E3" w:rsidRDefault="003673FA">
            <w:pPr>
              <w:spacing w:beforeAutospacing="1" w:afterAutospacing="1"/>
              <w:jc w:val="right"/>
            </w:pPr>
            <w:r>
              <w:rPr>
                <w:color w:val="000000"/>
              </w:rPr>
              <w:t>388,222</w:t>
            </w:r>
          </w:p>
        </w:tc>
        <w:tc>
          <w:tcPr>
            <w:tcW w:w="0" w:type="auto"/>
            <w:vAlign w:val="bottom"/>
          </w:tcPr>
          <w:p w:rsidR="00C472E3" w:rsidRDefault="003673FA">
            <w:pPr>
              <w:spacing w:beforeAutospacing="1" w:afterAutospacing="1"/>
              <w:jc w:val="right"/>
            </w:pPr>
            <w:r>
              <w:rPr>
                <w:color w:val="000000"/>
              </w:rPr>
              <w:t>294,486</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rsidR="00C472E3" w:rsidRDefault="00C472E3">
      <w:pPr>
        <w:spacing w:after="0" w:line="240" w:lineRule="auto"/>
        <w:rPr>
          <w:b/>
          <w:sz w:val="24"/>
          <w:szCs w:val="24"/>
        </w:rPr>
      </w:pPr>
    </w:p>
    <w:p w:rsidR="00C472E3" w:rsidRDefault="003673FA">
      <w:pPr>
        <w:spacing w:after="0" w:line="240" w:lineRule="auto"/>
        <w:rPr>
          <w:b/>
          <w:sz w:val="24"/>
          <w:szCs w:val="24"/>
        </w:rPr>
      </w:pPr>
      <w:r>
        <w:rPr>
          <w:b/>
          <w:sz w:val="24"/>
          <w:szCs w:val="24"/>
        </w:rPr>
        <w:t>Narrative</w:t>
      </w:r>
    </w:p>
    <w:p w:rsidR="00C472E3" w:rsidRDefault="003673FA">
      <w:pPr>
        <w:spacing w:beforeAutospacing="1" w:afterAutospacing="1"/>
        <w:rPr>
          <w:rFonts w:cs="Arial"/>
        </w:rPr>
      </w:pPr>
      <w:r>
        <w:rPr>
          <w:rFonts w:cs="Arial"/>
        </w:rPr>
        <w:t xml:space="preserve">Multnomah County, whenever possible, pursued all available resources to deliver programs or projects that met the Goals outline in the 2021-25 Consolidated Plan.  Most often, the County’s CDBG contribution is a small but vital infusion of resources and it </w:t>
      </w:r>
      <w:r>
        <w:rPr>
          <w:rFonts w:cs="Arial"/>
        </w:rPr>
        <w:t xml:space="preserve">has become increasingly important to collaborate with the cities of Portland and Gresham on housing development projects.  The City of Portland manages the county HOME funds. </w:t>
      </w:r>
    </w:p>
    <w:p w:rsidR="00C472E3" w:rsidRDefault="00C472E3">
      <w:pPr>
        <w:spacing w:after="0" w:line="240" w:lineRule="auto"/>
        <w:rPr>
          <w:b/>
          <w:sz w:val="24"/>
          <w:szCs w:val="24"/>
        </w:rPr>
      </w:pPr>
    </w:p>
    <w:p w:rsidR="00C472E3" w:rsidRDefault="003673FA">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472E3">
        <w:trPr>
          <w:cantSplit/>
        </w:trPr>
        <w:tc>
          <w:tcPr>
            <w:tcW w:w="2394" w:type="dxa"/>
          </w:tcPr>
          <w:p w:rsidR="00C472E3" w:rsidRDefault="003673FA">
            <w:pPr>
              <w:keepNext/>
              <w:widowControl w:val="0"/>
              <w:spacing w:after="0" w:line="240" w:lineRule="auto"/>
              <w:jc w:val="center"/>
              <w:rPr>
                <w:rFonts w:cs="Arial"/>
                <w:b/>
              </w:rPr>
            </w:pPr>
            <w:r>
              <w:rPr>
                <w:rFonts w:cs="Arial"/>
                <w:b/>
              </w:rPr>
              <w:t>Target Area</w:t>
            </w:r>
          </w:p>
        </w:tc>
        <w:tc>
          <w:tcPr>
            <w:tcW w:w="2394" w:type="dxa"/>
          </w:tcPr>
          <w:p w:rsidR="00C472E3" w:rsidRDefault="003673FA">
            <w:pPr>
              <w:keepNext/>
              <w:widowControl w:val="0"/>
              <w:spacing w:after="0" w:line="240" w:lineRule="auto"/>
              <w:jc w:val="center"/>
              <w:rPr>
                <w:rFonts w:cs="Arial"/>
                <w:b/>
              </w:rPr>
            </w:pPr>
            <w:r>
              <w:rPr>
                <w:rFonts w:cs="Arial"/>
                <w:b/>
              </w:rPr>
              <w:t>Pl</w:t>
            </w:r>
            <w:r>
              <w:rPr>
                <w:rFonts w:cs="Arial"/>
                <w:b/>
              </w:rPr>
              <w:t>anned Percentage of Allocation</w:t>
            </w:r>
          </w:p>
        </w:tc>
        <w:tc>
          <w:tcPr>
            <w:tcW w:w="2394" w:type="dxa"/>
          </w:tcPr>
          <w:p w:rsidR="00C472E3" w:rsidRDefault="003673FA">
            <w:pPr>
              <w:keepNext/>
              <w:spacing w:after="0" w:line="240" w:lineRule="auto"/>
              <w:jc w:val="center"/>
              <w:rPr>
                <w:rFonts w:cs="Arial"/>
                <w:b/>
              </w:rPr>
            </w:pPr>
            <w:r>
              <w:rPr>
                <w:rFonts w:cs="Arial"/>
                <w:b/>
              </w:rPr>
              <w:t>Actual Percentage of Allocation</w:t>
            </w:r>
          </w:p>
        </w:tc>
        <w:tc>
          <w:tcPr>
            <w:tcW w:w="2394" w:type="dxa"/>
          </w:tcPr>
          <w:p w:rsidR="00C472E3" w:rsidRDefault="003673FA">
            <w:pPr>
              <w:keepNext/>
              <w:widowControl w:val="0"/>
              <w:spacing w:after="0" w:line="240" w:lineRule="auto"/>
              <w:jc w:val="center"/>
              <w:rPr>
                <w:rFonts w:cs="Arial"/>
                <w:b/>
              </w:rPr>
            </w:pPr>
            <w:r>
              <w:rPr>
                <w:rFonts w:cs="Arial"/>
                <w:b/>
              </w:rPr>
              <w:t>Narrative Description</w:t>
            </w:r>
          </w:p>
        </w:tc>
      </w:tr>
      <w:tr w:rsidR="00C472E3">
        <w:trPr>
          <w:cantSplit/>
        </w:trPr>
        <w:tc>
          <w:tcPr>
            <w:tcW w:w="2394" w:type="dxa"/>
          </w:tcPr>
          <w:p w:rsidR="00C472E3" w:rsidRDefault="00C472E3">
            <w:pPr>
              <w:keepNext/>
              <w:widowControl w:val="0"/>
              <w:spacing w:after="0" w:line="240" w:lineRule="auto"/>
              <w:rPr>
                <w:rFonts w:cs="Arial"/>
              </w:rPr>
            </w:pPr>
          </w:p>
        </w:tc>
        <w:tc>
          <w:tcPr>
            <w:tcW w:w="2394" w:type="dxa"/>
          </w:tcPr>
          <w:p w:rsidR="00C472E3" w:rsidRDefault="00C472E3">
            <w:pPr>
              <w:keepNext/>
              <w:widowControl w:val="0"/>
              <w:spacing w:after="0" w:line="240" w:lineRule="auto"/>
              <w:rPr>
                <w:rFonts w:cs="Arial"/>
              </w:rPr>
            </w:pPr>
          </w:p>
        </w:tc>
        <w:tc>
          <w:tcPr>
            <w:tcW w:w="2394" w:type="dxa"/>
          </w:tcPr>
          <w:p w:rsidR="00C472E3" w:rsidRDefault="00C472E3">
            <w:pPr>
              <w:keepNext/>
              <w:widowControl w:val="0"/>
              <w:spacing w:after="0" w:line="240" w:lineRule="auto"/>
              <w:rPr>
                <w:rFonts w:cs="Arial"/>
              </w:rPr>
            </w:pPr>
          </w:p>
        </w:tc>
        <w:tc>
          <w:tcPr>
            <w:tcW w:w="2394" w:type="dxa"/>
          </w:tcPr>
          <w:p w:rsidR="00C472E3" w:rsidRDefault="00C472E3">
            <w:pPr>
              <w:keepNext/>
              <w:widowControl w:val="0"/>
              <w:spacing w:after="0" w:line="240" w:lineRule="auto"/>
              <w:rPr>
                <w:rFonts w:cs="Arial"/>
              </w:rPr>
            </w:pP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rsidR="00C472E3" w:rsidRDefault="00C472E3">
      <w:pPr>
        <w:keepNext/>
        <w:widowControl w:val="0"/>
        <w:spacing w:line="204" w:lineRule="auto"/>
        <w:rPr>
          <w:b/>
          <w:sz w:val="24"/>
          <w:szCs w:val="24"/>
        </w:rPr>
      </w:pPr>
    </w:p>
    <w:p w:rsidR="00C472E3" w:rsidRDefault="003673FA">
      <w:pPr>
        <w:widowControl w:val="0"/>
        <w:spacing w:line="204" w:lineRule="auto"/>
        <w:rPr>
          <w:b/>
          <w:sz w:val="24"/>
          <w:szCs w:val="24"/>
        </w:rPr>
      </w:pPr>
      <w:r>
        <w:rPr>
          <w:b/>
          <w:sz w:val="24"/>
          <w:szCs w:val="24"/>
        </w:rPr>
        <w:t>Narrative</w:t>
      </w:r>
    </w:p>
    <w:p w:rsidR="00C472E3" w:rsidRDefault="003673FA">
      <w:pPr>
        <w:widowControl w:val="0"/>
        <w:spacing w:beforeAutospacing="1" w:afterAutospacing="1"/>
        <w:rPr>
          <w:rFonts w:cs="Arial"/>
        </w:rPr>
      </w:pPr>
      <w:r>
        <w:rPr>
          <w:rFonts w:cs="Arial"/>
        </w:rPr>
        <w:t>Multnomah County’s CDBG program serves county residents of the cities of Troutdale, Wood Village, Maywood Park, and Fairview as well as those living in the unincorporated areas of the county. 100% of the allocation served the target area and benefited resi</w:t>
      </w:r>
      <w:r>
        <w:rPr>
          <w:rFonts w:cs="Arial"/>
        </w:rPr>
        <w:t>dents of the area, as planned. (Note: the table above did not populate from IDIS and so we have included the information in this narrative.</w:t>
      </w:r>
    </w:p>
    <w:p w:rsidR="00C472E3" w:rsidRDefault="003673FA">
      <w:pPr>
        <w:widowControl w:val="0"/>
        <w:spacing w:beforeAutospacing="1" w:afterAutospacing="1"/>
        <w:rPr>
          <w:rFonts w:cs="Arial"/>
        </w:rPr>
      </w:pPr>
      <w:r>
        <w:rPr>
          <w:rFonts w:cs="Arial"/>
        </w:rPr>
        <w:t>Housing Rehabilitation and Public Services to residents of the entitlement area were based on household income eligi</w:t>
      </w:r>
      <w:r>
        <w:rPr>
          <w:rFonts w:cs="Arial"/>
        </w:rPr>
        <w:t>bility. The planned Public Facilities project in 2022 was located in the City of Wood Village. The City of Wood Village- Picnic and Sports Facilities Improvement project at the Donald L. Robertson Park was sucessfully completed before June 30, 2023. This p</w:t>
      </w:r>
      <w:r>
        <w:rPr>
          <w:rFonts w:cs="Arial"/>
        </w:rPr>
        <w:t>roject is estimated to directly benefit over 4,750 low and moderate income persons/households living in the area. </w:t>
      </w:r>
    </w:p>
    <w:p w:rsidR="00C472E3" w:rsidRDefault="003673FA">
      <w:pPr>
        <w:widowControl w:val="0"/>
        <w:spacing w:beforeAutospacing="1" w:afterAutospacing="1"/>
        <w:rPr>
          <w:rFonts w:cs="Arial"/>
        </w:rPr>
      </w:pPr>
      <w:r>
        <w:rPr>
          <w:rFonts w:cs="Arial"/>
          <w:b/>
        </w:rPr>
        <w:t>CDBG-CV </w:t>
      </w:r>
    </w:p>
    <w:p w:rsidR="00C472E3" w:rsidRDefault="003673FA">
      <w:pPr>
        <w:widowControl w:val="0"/>
        <w:spacing w:beforeAutospacing="1" w:afterAutospacing="1"/>
        <w:rPr>
          <w:rFonts w:cs="Arial"/>
        </w:rPr>
      </w:pPr>
      <w:r>
        <w:rPr>
          <w:rFonts w:cs="Arial"/>
        </w:rPr>
        <w:t>Community Development Block Grant-Coronavirus (CDBG-CV) funds are being used for rent and utility assistance for those negatively im</w:t>
      </w:r>
      <w:r>
        <w:rPr>
          <w:rFonts w:cs="Arial"/>
        </w:rPr>
        <w:t>pacted by Covid-19. During our most recent Community Needs Hearing the community addressed the need to keep residents' housed and address the housing crisis. Multnomah County received $405,672 from rounds one and three. Round one funding ($179,666) and rou</w:t>
      </w:r>
      <w:r>
        <w:rPr>
          <w:rFonts w:cs="Arial"/>
        </w:rPr>
        <w:t xml:space="preserve">nd three funding ($226,006) are both programmed to support with rent and utility assistance. </w:t>
      </w:r>
      <w:r>
        <w:rPr>
          <w:rFonts w:cs="Arial"/>
        </w:rPr>
        <w:lastRenderedPageBreak/>
        <w:t>Multnomah County rent and utility assistance is being provided to qualified tenants throughout the county in areas of City of Wood Village, Fairview, Troutdale May</w:t>
      </w:r>
      <w:r>
        <w:rPr>
          <w:rFonts w:cs="Arial"/>
        </w:rPr>
        <w:t>wood Park and other unincorporated areas. As of June 30, 2023, the program assisted 57 households with $244,593.14 FY2022-23. The remaining $161,078.86 is programmed to continue the efforts of rent and utility assistance with assertive engagement and cultu</w:t>
      </w:r>
      <w:r>
        <w:rPr>
          <w:rFonts w:cs="Arial"/>
        </w:rPr>
        <w:t>rally specific assistance to stabilize housing for families and prevent evictions. For PY2023 El Programa Hispano Catolico will not be carrying out the activity but Latino Network Inc will continue to spend down the remaining funds of CDBG-CV. Of the total</w:t>
      </w:r>
      <w:r>
        <w:rPr>
          <w:rFonts w:cs="Arial"/>
        </w:rPr>
        <w:t xml:space="preserve"> 57 served, 42 persons/households were Extremely-low Income, 8 were Low-Moderate Income, 7 were Moderate Income and zero were Non-Low Moderate Income.</w:t>
      </w:r>
    </w:p>
    <w:p w:rsidR="00C472E3" w:rsidRDefault="003673FA">
      <w:pPr>
        <w:pageBreakBefore/>
        <w:widowControl w:val="0"/>
        <w:spacing w:line="240" w:lineRule="auto"/>
        <w:rPr>
          <w:b/>
          <w:sz w:val="24"/>
          <w:szCs w:val="24"/>
        </w:rPr>
      </w:pPr>
      <w:r>
        <w:rPr>
          <w:b/>
          <w:sz w:val="24"/>
          <w:szCs w:val="24"/>
        </w:rPr>
        <w:lastRenderedPageBreak/>
        <w:t>Leveraging</w:t>
      </w:r>
    </w:p>
    <w:p w:rsidR="00C472E3" w:rsidRDefault="003673FA">
      <w:pPr>
        <w:widowControl w:val="0"/>
        <w:spacing w:line="240" w:lineRule="auto"/>
        <w:rPr>
          <w:b/>
          <w:sz w:val="24"/>
          <w:szCs w:val="24"/>
        </w:rPr>
      </w:pPr>
      <w:r>
        <w:rPr>
          <w:b/>
          <w:sz w:val="24"/>
          <w:szCs w:val="24"/>
        </w:rPr>
        <w:t>Explain how federal funds  leveraged additional resources (private, state and local funds), in</w:t>
      </w:r>
      <w:r>
        <w:rPr>
          <w:b/>
          <w:sz w:val="24"/>
          <w:szCs w:val="24"/>
        </w:rPr>
        <w:t>cluding a description of how matching requirements were satisfied, as well as how any publicly owned land or property located within the jurisdiction that were used to address the needs identified in the plan.</w:t>
      </w:r>
    </w:p>
    <w:p w:rsidR="00C472E3" w:rsidRDefault="003673FA">
      <w:pPr>
        <w:widowControl w:val="0"/>
        <w:spacing w:beforeAutospacing="1" w:afterAutospacing="1"/>
        <w:rPr>
          <w:sz w:val="24"/>
          <w:szCs w:val="24"/>
        </w:rPr>
      </w:pPr>
      <w:r>
        <w:rPr>
          <w:sz w:val="24"/>
          <w:szCs w:val="24"/>
        </w:rPr>
        <w:t>The Multnomah County project application requires that applicants list other resources as they develop project applications.  Some of these resources are private grants or contributions from federal, state, and local funding; other sources are in-kind serv</w:t>
      </w:r>
      <w:r>
        <w:rPr>
          <w:sz w:val="24"/>
          <w:szCs w:val="24"/>
        </w:rPr>
        <w:t>ices.  During the application scoring process, applicants are awarded “points” for providing leverage funds for their project.  </w:t>
      </w:r>
    </w:p>
    <w:p w:rsidR="00C472E3" w:rsidRDefault="00C472E3">
      <w:pPr>
        <w:widowControl w:val="0"/>
        <w:spacing w:after="0" w:line="240" w:lineRule="auto"/>
        <w:rPr>
          <w:sz w:val="24"/>
          <w:szCs w:val="24"/>
        </w:rPr>
      </w:pPr>
    </w:p>
    <w:p w:rsidR="00C472E3" w:rsidRDefault="00C472E3">
      <w:pPr>
        <w:spacing w:after="0" w:line="240" w:lineRule="auto"/>
      </w:pPr>
      <w:bookmarkStart w:id="2" w:name="_Toc309810475"/>
    </w:p>
    <w:p w:rsidR="00C472E3" w:rsidRDefault="00C472E3">
      <w:pPr>
        <w:sectPr w:rsidR="00C472E3">
          <w:pgSz w:w="12240" w:h="15840" w:code="1"/>
          <w:pgMar w:top="1440" w:right="1440" w:bottom="1440" w:left="1440" w:header="720" w:footer="720" w:gutter="0"/>
          <w:cols w:space="720"/>
          <w:docGrid w:linePitch="360"/>
        </w:sectPr>
      </w:pPr>
    </w:p>
    <w:p w:rsidR="00C472E3" w:rsidRDefault="003673FA">
      <w:pPr>
        <w:pStyle w:val="Heading2"/>
        <w:rPr>
          <w:rFonts w:ascii="Calibri" w:hAnsi="Calibri"/>
          <w:i w:val="0"/>
        </w:rPr>
      </w:pPr>
      <w:r>
        <w:rPr>
          <w:rFonts w:ascii="Calibri" w:hAnsi="Calibri"/>
          <w:i w:val="0"/>
        </w:rPr>
        <w:lastRenderedPageBreak/>
        <w:t>CR-20 - Affordable Housing 91.520(b)</w:t>
      </w:r>
    </w:p>
    <w:p w:rsidR="00C472E3" w:rsidRDefault="003673FA">
      <w:pPr>
        <w:keepNext/>
        <w:widowControl w:val="0"/>
        <w:spacing w:after="0" w:line="240" w:lineRule="auto"/>
        <w:rPr>
          <w:b/>
          <w:sz w:val="24"/>
          <w:szCs w:val="24"/>
        </w:rPr>
      </w:pPr>
      <w:r>
        <w:rPr>
          <w:b/>
          <w:sz w:val="24"/>
          <w:szCs w:val="24"/>
        </w:rPr>
        <w:t xml:space="preserve">Evaluation of the jurisdiction's progress in providing affordable housing, </w:t>
      </w:r>
      <w:r>
        <w:rPr>
          <w:b/>
          <w:sz w:val="24"/>
          <w:szCs w:val="24"/>
        </w:rPr>
        <w:t>including the number and types of families served, the number of extremely low-income, low-income, moderate-income, and middle-income persons served.</w:t>
      </w:r>
    </w:p>
    <w:p w:rsidR="00C472E3" w:rsidRDefault="00C472E3">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C472E3">
        <w:trPr>
          <w:cantSplit/>
          <w:tblHeader/>
        </w:trPr>
        <w:tc>
          <w:tcPr>
            <w:tcW w:w="4293" w:type="dxa"/>
          </w:tcPr>
          <w:p w:rsidR="00C472E3" w:rsidRDefault="00C472E3">
            <w:pPr>
              <w:pStyle w:val="Caption"/>
              <w:keepNext/>
              <w:widowControl w:val="0"/>
              <w:jc w:val="center"/>
              <w:rPr>
                <w:rFonts w:ascii="Calibri" w:hAnsi="Calibri"/>
                <w:sz w:val="22"/>
                <w:szCs w:val="22"/>
              </w:rPr>
            </w:pPr>
          </w:p>
        </w:tc>
        <w:tc>
          <w:tcPr>
            <w:tcW w:w="2648" w:type="dxa"/>
          </w:tcPr>
          <w:p w:rsidR="00C472E3" w:rsidRDefault="003673FA">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C472E3" w:rsidRDefault="003673FA">
            <w:pPr>
              <w:pStyle w:val="Caption"/>
              <w:keepNext/>
              <w:widowControl w:val="0"/>
              <w:jc w:val="center"/>
              <w:rPr>
                <w:rFonts w:ascii="Calibri" w:hAnsi="Calibri"/>
                <w:sz w:val="22"/>
                <w:szCs w:val="22"/>
              </w:rPr>
            </w:pPr>
            <w:r>
              <w:rPr>
                <w:rFonts w:ascii="Calibri" w:hAnsi="Calibri"/>
                <w:sz w:val="22"/>
                <w:szCs w:val="22"/>
              </w:rPr>
              <w:t>Actual</w:t>
            </w:r>
          </w:p>
        </w:tc>
      </w:tr>
      <w:tr w:rsidR="00C472E3">
        <w:trPr>
          <w:cantSplit/>
        </w:trPr>
        <w:tc>
          <w:tcPr>
            <w:tcW w:w="4293" w:type="dxa"/>
            <w:vAlign w:val="bottom"/>
          </w:tcPr>
          <w:p w:rsidR="00C472E3" w:rsidRDefault="003673FA">
            <w:pPr>
              <w:spacing w:beforeAutospacing="1" w:afterAutospacing="1"/>
            </w:pPr>
            <w:r>
              <w:rPr>
                <w:color w:val="000000"/>
              </w:rPr>
              <w:t>Number of Homeless households to be provided affordable housing units</w:t>
            </w:r>
          </w:p>
        </w:tc>
        <w:tc>
          <w:tcPr>
            <w:tcW w:w="2648" w:type="dxa"/>
            <w:vAlign w:val="bottom"/>
          </w:tcPr>
          <w:p w:rsidR="00C472E3" w:rsidRDefault="003673FA">
            <w:pPr>
              <w:spacing w:beforeAutospacing="1" w:afterAutospacing="1"/>
              <w:jc w:val="right"/>
            </w:pPr>
            <w:r>
              <w:rPr>
                <w:color w:val="000000"/>
              </w:rPr>
              <w:t>0</w:t>
            </w:r>
          </w:p>
        </w:tc>
        <w:tc>
          <w:tcPr>
            <w:tcW w:w="2649" w:type="dxa"/>
            <w:vAlign w:val="bottom"/>
          </w:tcPr>
          <w:p w:rsidR="00C472E3" w:rsidRDefault="003673FA">
            <w:pPr>
              <w:spacing w:beforeAutospacing="1" w:afterAutospacing="1"/>
              <w:jc w:val="right"/>
            </w:pPr>
            <w:r>
              <w:rPr>
                <w:color w:val="000000"/>
              </w:rPr>
              <w:t>0</w:t>
            </w:r>
          </w:p>
        </w:tc>
      </w:tr>
      <w:tr w:rsidR="00C472E3">
        <w:trPr>
          <w:cantSplit/>
        </w:trPr>
        <w:tc>
          <w:tcPr>
            <w:tcW w:w="4293" w:type="dxa"/>
            <w:vAlign w:val="bottom"/>
          </w:tcPr>
          <w:p w:rsidR="00C472E3" w:rsidRDefault="003673FA">
            <w:pPr>
              <w:spacing w:beforeAutospacing="1" w:afterAutospacing="1"/>
            </w:pPr>
            <w:r>
              <w:rPr>
                <w:color w:val="000000"/>
              </w:rPr>
              <w:t>Number of Non-Homeless households to be provided affordable housing units</w:t>
            </w:r>
          </w:p>
        </w:tc>
        <w:tc>
          <w:tcPr>
            <w:tcW w:w="2648" w:type="dxa"/>
            <w:vAlign w:val="bottom"/>
          </w:tcPr>
          <w:p w:rsidR="00C472E3" w:rsidRDefault="003673FA">
            <w:pPr>
              <w:spacing w:beforeAutospacing="1" w:afterAutospacing="1"/>
              <w:jc w:val="right"/>
            </w:pPr>
            <w:r>
              <w:rPr>
                <w:color w:val="000000"/>
              </w:rPr>
              <w:t>16</w:t>
            </w:r>
          </w:p>
        </w:tc>
        <w:tc>
          <w:tcPr>
            <w:tcW w:w="2649" w:type="dxa"/>
            <w:vAlign w:val="bottom"/>
          </w:tcPr>
          <w:p w:rsidR="00C472E3" w:rsidRDefault="003673FA">
            <w:pPr>
              <w:spacing w:beforeAutospacing="1" w:afterAutospacing="1"/>
              <w:jc w:val="right"/>
            </w:pPr>
            <w:r>
              <w:rPr>
                <w:color w:val="000000"/>
              </w:rPr>
              <w:t>15</w:t>
            </w:r>
          </w:p>
        </w:tc>
      </w:tr>
      <w:tr w:rsidR="00C472E3">
        <w:trPr>
          <w:cantSplit/>
        </w:trPr>
        <w:tc>
          <w:tcPr>
            <w:tcW w:w="4293" w:type="dxa"/>
            <w:vAlign w:val="bottom"/>
          </w:tcPr>
          <w:p w:rsidR="00C472E3" w:rsidRDefault="003673FA">
            <w:pPr>
              <w:spacing w:beforeAutospacing="1" w:afterAutospacing="1"/>
            </w:pPr>
            <w:r>
              <w:rPr>
                <w:color w:val="000000"/>
              </w:rPr>
              <w:t>Number of Special-Needs households to be provided affordable housing units</w:t>
            </w:r>
          </w:p>
        </w:tc>
        <w:tc>
          <w:tcPr>
            <w:tcW w:w="2648" w:type="dxa"/>
            <w:vAlign w:val="bottom"/>
          </w:tcPr>
          <w:p w:rsidR="00C472E3" w:rsidRDefault="003673FA">
            <w:pPr>
              <w:spacing w:beforeAutospacing="1" w:afterAutospacing="1"/>
              <w:jc w:val="right"/>
            </w:pPr>
            <w:r>
              <w:rPr>
                <w:color w:val="000000"/>
              </w:rPr>
              <w:t>13</w:t>
            </w:r>
          </w:p>
        </w:tc>
        <w:tc>
          <w:tcPr>
            <w:tcW w:w="2649" w:type="dxa"/>
            <w:vAlign w:val="bottom"/>
          </w:tcPr>
          <w:p w:rsidR="00C472E3" w:rsidRDefault="003673FA">
            <w:pPr>
              <w:spacing w:beforeAutospacing="1" w:afterAutospacing="1"/>
              <w:jc w:val="right"/>
            </w:pPr>
            <w:r>
              <w:rPr>
                <w:color w:val="000000"/>
              </w:rPr>
              <w:t>11</w:t>
            </w:r>
          </w:p>
        </w:tc>
      </w:tr>
      <w:tr w:rsidR="00C472E3">
        <w:trPr>
          <w:cantSplit/>
        </w:trPr>
        <w:tc>
          <w:tcPr>
            <w:tcW w:w="4293" w:type="dxa"/>
          </w:tcPr>
          <w:p w:rsidR="00C472E3" w:rsidRDefault="003673FA">
            <w:pPr>
              <w:spacing w:beforeAutospacing="1" w:afterAutospacing="1"/>
            </w:pPr>
            <w:r>
              <w:rPr>
                <w:b/>
                <w:color w:val="000000"/>
              </w:rPr>
              <w:t>Total</w:t>
            </w:r>
          </w:p>
        </w:tc>
        <w:tc>
          <w:tcPr>
            <w:tcW w:w="2648" w:type="dxa"/>
            <w:vAlign w:val="bottom"/>
          </w:tcPr>
          <w:p w:rsidR="00C472E3" w:rsidRDefault="003673FA">
            <w:pPr>
              <w:spacing w:beforeAutospacing="1" w:afterAutospacing="1"/>
              <w:jc w:val="right"/>
            </w:pPr>
            <w:r>
              <w:rPr>
                <w:b/>
                <w:color w:val="000000"/>
              </w:rPr>
              <w:t>29</w:t>
            </w:r>
          </w:p>
        </w:tc>
        <w:tc>
          <w:tcPr>
            <w:tcW w:w="2649" w:type="dxa"/>
            <w:vAlign w:val="bottom"/>
          </w:tcPr>
          <w:p w:rsidR="00C472E3" w:rsidRDefault="003673FA">
            <w:pPr>
              <w:spacing w:beforeAutospacing="1" w:afterAutospacing="1"/>
              <w:jc w:val="right"/>
            </w:pPr>
            <w:r>
              <w:rPr>
                <w:b/>
                <w:color w:val="000000"/>
              </w:rPr>
              <w:t>26</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rsidR="00C472E3" w:rsidRDefault="00C472E3"/>
    <w:p w:rsidR="00C472E3" w:rsidRDefault="00C472E3"/>
    <w:p w:rsidR="00C472E3" w:rsidRDefault="00C472E3">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C472E3">
        <w:trPr>
          <w:cantSplit/>
          <w:tblHeader/>
        </w:trPr>
        <w:tc>
          <w:tcPr>
            <w:tcW w:w="4293" w:type="dxa"/>
          </w:tcPr>
          <w:p w:rsidR="00C472E3" w:rsidRDefault="00C472E3">
            <w:pPr>
              <w:pStyle w:val="Caption"/>
              <w:keepNext/>
              <w:widowControl w:val="0"/>
              <w:jc w:val="center"/>
              <w:rPr>
                <w:rFonts w:ascii="Calibri" w:hAnsi="Calibri"/>
                <w:sz w:val="22"/>
                <w:szCs w:val="22"/>
              </w:rPr>
            </w:pPr>
          </w:p>
        </w:tc>
        <w:tc>
          <w:tcPr>
            <w:tcW w:w="2648" w:type="dxa"/>
          </w:tcPr>
          <w:p w:rsidR="00C472E3" w:rsidRDefault="003673FA">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C472E3" w:rsidRDefault="003673FA">
            <w:pPr>
              <w:pStyle w:val="Caption"/>
              <w:keepNext/>
              <w:widowControl w:val="0"/>
              <w:jc w:val="center"/>
              <w:rPr>
                <w:rFonts w:ascii="Calibri" w:hAnsi="Calibri"/>
                <w:sz w:val="22"/>
                <w:szCs w:val="22"/>
              </w:rPr>
            </w:pPr>
            <w:r>
              <w:rPr>
                <w:rFonts w:ascii="Calibri" w:hAnsi="Calibri"/>
                <w:sz w:val="22"/>
                <w:szCs w:val="22"/>
              </w:rPr>
              <w:t>Actual</w:t>
            </w:r>
          </w:p>
        </w:tc>
      </w:tr>
      <w:tr w:rsidR="00C472E3">
        <w:trPr>
          <w:cantSplit/>
        </w:trPr>
        <w:tc>
          <w:tcPr>
            <w:tcW w:w="4293" w:type="dxa"/>
            <w:vAlign w:val="bottom"/>
          </w:tcPr>
          <w:p w:rsidR="00C472E3" w:rsidRDefault="003673FA">
            <w:pPr>
              <w:spacing w:beforeAutospacing="1" w:afterAutospacing="1"/>
            </w:pPr>
            <w:r>
              <w:rPr>
                <w:color w:val="000000"/>
              </w:rPr>
              <w:t>Number of households supported through Rental Assistance</w:t>
            </w:r>
          </w:p>
        </w:tc>
        <w:tc>
          <w:tcPr>
            <w:tcW w:w="2648" w:type="dxa"/>
            <w:vAlign w:val="bottom"/>
          </w:tcPr>
          <w:p w:rsidR="00C472E3" w:rsidRDefault="003673FA">
            <w:pPr>
              <w:spacing w:beforeAutospacing="1" w:afterAutospacing="1"/>
              <w:jc w:val="right"/>
            </w:pPr>
            <w:r>
              <w:rPr>
                <w:color w:val="000000"/>
              </w:rPr>
              <w:t>13</w:t>
            </w:r>
          </w:p>
        </w:tc>
        <w:tc>
          <w:tcPr>
            <w:tcW w:w="2649" w:type="dxa"/>
            <w:vAlign w:val="bottom"/>
          </w:tcPr>
          <w:p w:rsidR="00C472E3" w:rsidRDefault="003673FA">
            <w:pPr>
              <w:spacing w:beforeAutospacing="1" w:afterAutospacing="1"/>
              <w:jc w:val="right"/>
            </w:pPr>
            <w:r>
              <w:rPr>
                <w:color w:val="000000"/>
              </w:rPr>
              <w:t>0</w:t>
            </w:r>
          </w:p>
        </w:tc>
      </w:tr>
      <w:tr w:rsidR="00C472E3">
        <w:trPr>
          <w:cantSplit/>
        </w:trPr>
        <w:tc>
          <w:tcPr>
            <w:tcW w:w="4293" w:type="dxa"/>
            <w:vAlign w:val="bottom"/>
          </w:tcPr>
          <w:p w:rsidR="00C472E3" w:rsidRDefault="003673FA">
            <w:pPr>
              <w:spacing w:beforeAutospacing="1" w:afterAutospacing="1"/>
            </w:pPr>
            <w:r>
              <w:rPr>
                <w:color w:val="000000"/>
              </w:rPr>
              <w:t>Number of households supported through The Production of New Units</w:t>
            </w:r>
          </w:p>
        </w:tc>
        <w:tc>
          <w:tcPr>
            <w:tcW w:w="2648" w:type="dxa"/>
            <w:vAlign w:val="bottom"/>
          </w:tcPr>
          <w:p w:rsidR="00C472E3" w:rsidRDefault="003673FA">
            <w:pPr>
              <w:spacing w:beforeAutospacing="1" w:afterAutospacing="1"/>
              <w:jc w:val="right"/>
            </w:pPr>
            <w:r>
              <w:rPr>
                <w:color w:val="000000"/>
              </w:rPr>
              <w:t>0</w:t>
            </w:r>
          </w:p>
        </w:tc>
        <w:tc>
          <w:tcPr>
            <w:tcW w:w="2649" w:type="dxa"/>
            <w:vAlign w:val="bottom"/>
          </w:tcPr>
          <w:p w:rsidR="00C472E3" w:rsidRDefault="003673FA">
            <w:pPr>
              <w:spacing w:beforeAutospacing="1" w:afterAutospacing="1"/>
              <w:jc w:val="right"/>
            </w:pPr>
            <w:r>
              <w:rPr>
                <w:color w:val="000000"/>
              </w:rPr>
              <w:t>0</w:t>
            </w:r>
          </w:p>
        </w:tc>
      </w:tr>
      <w:tr w:rsidR="00C472E3">
        <w:trPr>
          <w:cantSplit/>
        </w:trPr>
        <w:tc>
          <w:tcPr>
            <w:tcW w:w="4293" w:type="dxa"/>
            <w:vAlign w:val="bottom"/>
          </w:tcPr>
          <w:p w:rsidR="00C472E3" w:rsidRDefault="003673FA">
            <w:pPr>
              <w:spacing w:beforeAutospacing="1" w:afterAutospacing="1"/>
            </w:pPr>
            <w:r>
              <w:rPr>
                <w:color w:val="000000"/>
              </w:rPr>
              <w:t>Number of households supported through Rehab of Existing Units</w:t>
            </w:r>
          </w:p>
        </w:tc>
        <w:tc>
          <w:tcPr>
            <w:tcW w:w="2648" w:type="dxa"/>
            <w:vAlign w:val="bottom"/>
          </w:tcPr>
          <w:p w:rsidR="00C472E3" w:rsidRDefault="003673FA">
            <w:pPr>
              <w:spacing w:beforeAutospacing="1" w:afterAutospacing="1"/>
              <w:jc w:val="right"/>
            </w:pPr>
            <w:r>
              <w:rPr>
                <w:color w:val="000000"/>
              </w:rPr>
              <w:t>16</w:t>
            </w:r>
          </w:p>
        </w:tc>
        <w:tc>
          <w:tcPr>
            <w:tcW w:w="2649" w:type="dxa"/>
            <w:vAlign w:val="bottom"/>
          </w:tcPr>
          <w:p w:rsidR="00C472E3" w:rsidRDefault="003673FA">
            <w:pPr>
              <w:spacing w:beforeAutospacing="1" w:afterAutospacing="1"/>
              <w:jc w:val="right"/>
            </w:pPr>
            <w:r>
              <w:rPr>
                <w:color w:val="000000"/>
              </w:rPr>
              <w:t>26</w:t>
            </w:r>
          </w:p>
        </w:tc>
      </w:tr>
      <w:tr w:rsidR="00C472E3">
        <w:trPr>
          <w:cantSplit/>
        </w:trPr>
        <w:tc>
          <w:tcPr>
            <w:tcW w:w="4293" w:type="dxa"/>
            <w:vAlign w:val="bottom"/>
          </w:tcPr>
          <w:p w:rsidR="00C472E3" w:rsidRDefault="003673FA">
            <w:pPr>
              <w:spacing w:beforeAutospacing="1" w:afterAutospacing="1"/>
            </w:pPr>
            <w:r>
              <w:rPr>
                <w:color w:val="000000"/>
              </w:rPr>
              <w:t>Number of households supported through Acquisition of Existing Units</w:t>
            </w:r>
          </w:p>
        </w:tc>
        <w:tc>
          <w:tcPr>
            <w:tcW w:w="2648" w:type="dxa"/>
            <w:vAlign w:val="bottom"/>
          </w:tcPr>
          <w:p w:rsidR="00C472E3" w:rsidRDefault="003673FA">
            <w:pPr>
              <w:spacing w:beforeAutospacing="1" w:afterAutospacing="1"/>
              <w:jc w:val="right"/>
            </w:pPr>
            <w:r>
              <w:rPr>
                <w:color w:val="000000"/>
              </w:rPr>
              <w:t>0</w:t>
            </w:r>
          </w:p>
        </w:tc>
        <w:tc>
          <w:tcPr>
            <w:tcW w:w="2649" w:type="dxa"/>
            <w:vAlign w:val="bottom"/>
          </w:tcPr>
          <w:p w:rsidR="00C472E3" w:rsidRDefault="003673FA">
            <w:pPr>
              <w:spacing w:beforeAutospacing="1" w:afterAutospacing="1"/>
              <w:jc w:val="right"/>
            </w:pPr>
            <w:r>
              <w:rPr>
                <w:color w:val="000000"/>
              </w:rPr>
              <w:t>0</w:t>
            </w:r>
          </w:p>
        </w:tc>
      </w:tr>
      <w:tr w:rsidR="00C472E3">
        <w:trPr>
          <w:cantSplit/>
        </w:trPr>
        <w:tc>
          <w:tcPr>
            <w:tcW w:w="4293" w:type="dxa"/>
          </w:tcPr>
          <w:p w:rsidR="00C472E3" w:rsidRDefault="003673FA">
            <w:pPr>
              <w:spacing w:beforeAutospacing="1" w:afterAutospacing="1"/>
            </w:pPr>
            <w:r>
              <w:rPr>
                <w:b/>
                <w:color w:val="000000"/>
              </w:rPr>
              <w:t>Total</w:t>
            </w:r>
          </w:p>
        </w:tc>
        <w:tc>
          <w:tcPr>
            <w:tcW w:w="2648" w:type="dxa"/>
            <w:vAlign w:val="bottom"/>
          </w:tcPr>
          <w:p w:rsidR="00C472E3" w:rsidRDefault="003673FA">
            <w:pPr>
              <w:spacing w:beforeAutospacing="1" w:afterAutospacing="1"/>
              <w:jc w:val="right"/>
            </w:pPr>
            <w:r>
              <w:rPr>
                <w:b/>
                <w:color w:val="000000"/>
              </w:rPr>
              <w:t>29</w:t>
            </w:r>
          </w:p>
        </w:tc>
        <w:tc>
          <w:tcPr>
            <w:tcW w:w="2649" w:type="dxa"/>
            <w:vAlign w:val="bottom"/>
          </w:tcPr>
          <w:p w:rsidR="00C472E3" w:rsidRDefault="003673FA">
            <w:pPr>
              <w:spacing w:beforeAutospacing="1" w:afterAutospacing="1"/>
              <w:jc w:val="right"/>
            </w:pPr>
            <w:r>
              <w:rPr>
                <w:b/>
                <w:color w:val="000000"/>
              </w:rPr>
              <w:t>26</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rsidR="00C472E3" w:rsidRDefault="00C472E3">
      <w:pPr>
        <w:rPr>
          <w:rFonts w:cs="Arial"/>
        </w:rPr>
      </w:pPr>
    </w:p>
    <w:p w:rsidR="00C472E3" w:rsidRDefault="00C472E3">
      <w:pPr>
        <w:rPr>
          <w:rFonts w:cs="Arial"/>
        </w:rPr>
      </w:pPr>
    </w:p>
    <w:p w:rsidR="00C472E3" w:rsidRDefault="003673FA">
      <w:pPr>
        <w:widowControl w:val="0"/>
        <w:spacing w:line="204" w:lineRule="auto"/>
        <w:rPr>
          <w:b/>
          <w:sz w:val="24"/>
          <w:szCs w:val="24"/>
        </w:rPr>
      </w:pPr>
      <w:r>
        <w:rPr>
          <w:b/>
          <w:sz w:val="24"/>
          <w:szCs w:val="24"/>
        </w:rPr>
        <w:t>Discuss the difference between goals and outcomes and problems encountered in meeting these goals.</w:t>
      </w:r>
    </w:p>
    <w:p w:rsidR="00C472E3" w:rsidRDefault="003673FA">
      <w:pPr>
        <w:spacing w:beforeAutospacing="1" w:afterAutospacing="1"/>
        <w:rPr>
          <w:rFonts w:cs="Arial"/>
        </w:rPr>
      </w:pPr>
      <w:r>
        <w:rPr>
          <w:rFonts w:cs="Arial"/>
        </w:rPr>
        <w:t>Our subrecipient fully expended the allocations for rehab projects and achieved 26 of the anticipated 29 households to be served. The subrecipient continued to follow the protocols they developed early in the pandemic to keep recipients, contractors and st</w:t>
      </w:r>
      <w:r>
        <w:rPr>
          <w:rFonts w:cs="Arial"/>
        </w:rPr>
        <w:t>aff safe. Due to rise in construction materials and labor the organization fell short 3 households from reaching their goal.</w:t>
      </w:r>
      <w:r>
        <w:rPr>
          <w:rFonts w:cs="Arial"/>
        </w:rPr>
        <w:br/>
        <w:t>Non homeless rehabilitation completed 15 critical home repair projects for low/moderate income homeowners in Multnomah County, whic</w:t>
      </w:r>
      <w:r>
        <w:rPr>
          <w:rFonts w:cs="Arial"/>
        </w:rPr>
        <w:t xml:space="preserve">h is 93.8% of their annual goal. 80% of our clients this year had </w:t>
      </w:r>
      <w:r>
        <w:rPr>
          <w:rFonts w:cs="Arial"/>
        </w:rPr>
        <w:lastRenderedPageBreak/>
        <w:t>household incomes of less than 30% adjusted median family income, 73% of clients reported at least one disability or mobility impairment. The average median family income this year was 18.24</w:t>
      </w:r>
      <w:r>
        <w:rPr>
          <w:rFonts w:cs="Arial"/>
        </w:rPr>
        <w:t>%. About 47% of clients served self- reported as belonging to communities of color. 60% of clients needing critical home repair this year were seniors. Projects this year focused on repairing roofs, electrical systems, plumbing systems, porches/steps and f</w:t>
      </w:r>
      <w:r>
        <w:rPr>
          <w:rFonts w:cs="Arial"/>
        </w:rPr>
        <w:t>urnaces. The average project cost this year was $3,402.</w:t>
      </w:r>
      <w:r>
        <w:rPr>
          <w:rFonts w:cs="Arial"/>
        </w:rPr>
        <w:br/>
        <w:t xml:space="preserve">We continue to see an increase in seniors on fixed income with limited or no resources to perform critical repairs on their home, or the ability to get credit. 73% of clients we served this year live </w:t>
      </w:r>
      <w:r>
        <w:rPr>
          <w:rFonts w:cs="Arial"/>
        </w:rPr>
        <w:t>in mobile/manufactured homes in parks.</w:t>
      </w:r>
      <w:r>
        <w:rPr>
          <w:rFonts w:cs="Arial"/>
        </w:rPr>
        <w:br/>
        <w:t>For special needs rehabilitation projects they completed 11 accessibility modification projects for residents of Multnomah County this year, which is 84% of our annual goal. Projects focused on bathroom safety and ind</w:t>
      </w:r>
      <w:r>
        <w:rPr>
          <w:rFonts w:cs="Arial"/>
        </w:rPr>
        <w:t>ependence, and safe egress. 54% of clients served this year were seniors and 46% were younger people with mobility impairments. The average median family income (MFI) this year was 16.3% (AGI). 81% of households served this year had incomes less than 30% M</w:t>
      </w:r>
      <w:r>
        <w:rPr>
          <w:rFonts w:cs="Arial"/>
        </w:rPr>
        <w:t>FI. 27% of clients self-reported as belonging to communities of color. The average project cost this year was $3,532.</w:t>
      </w:r>
    </w:p>
    <w:p w:rsidR="00C472E3" w:rsidRDefault="00C472E3">
      <w:pPr>
        <w:spacing w:beforeAutospacing="1" w:afterAutospacing="1"/>
        <w:rPr>
          <w:rFonts w:cs="Arial"/>
        </w:rPr>
      </w:pPr>
    </w:p>
    <w:p w:rsidR="00C472E3" w:rsidRDefault="003673FA">
      <w:pPr>
        <w:widowControl w:val="0"/>
        <w:spacing w:line="204" w:lineRule="auto"/>
        <w:rPr>
          <w:b/>
          <w:sz w:val="24"/>
          <w:szCs w:val="24"/>
        </w:rPr>
      </w:pPr>
      <w:r>
        <w:rPr>
          <w:b/>
          <w:sz w:val="24"/>
          <w:szCs w:val="24"/>
        </w:rPr>
        <w:t>Discuss how these outcomes will impact future annual action plans.</w:t>
      </w:r>
    </w:p>
    <w:p w:rsidR="00C472E3" w:rsidRDefault="003673FA">
      <w:pPr>
        <w:spacing w:beforeAutospacing="1" w:afterAutospacing="1"/>
        <w:rPr>
          <w:rFonts w:cs="Arial"/>
        </w:rPr>
      </w:pPr>
      <w:r>
        <w:rPr>
          <w:rFonts w:cs="Arial"/>
        </w:rPr>
        <w:t>This year our Consortium is looking at ways to prioritize goals and fu</w:t>
      </w:r>
      <w:r>
        <w:rPr>
          <w:rFonts w:cs="Arial"/>
        </w:rPr>
        <w:t>nding resources with particular emphasis on deeply affordable housing, and housing for people who are homeless or have special needs as well as solicited input from a wide array of stakeholders, including those experiencing housing instability, unsafe livi</w:t>
      </w:r>
      <w:r>
        <w:rPr>
          <w:rFonts w:cs="Arial"/>
        </w:rPr>
        <w:t>ng conditions, unemployment and other issues related to their stability and prosperity. Multnomah County’s Policy Advisory Board (PAB) specifically prioritizes CDBG projects that address the housing affordability crisis in East Multnomah County (the geogra</w:t>
      </w:r>
      <w:r>
        <w:rPr>
          <w:rFonts w:cs="Arial"/>
        </w:rPr>
        <w:t>phy of our entitlement grant).  </w:t>
      </w:r>
    </w:p>
    <w:p w:rsidR="00C472E3" w:rsidRDefault="003673FA">
      <w:pPr>
        <w:spacing w:beforeAutospacing="1" w:afterAutospacing="1"/>
        <w:rPr>
          <w:rFonts w:cs="Arial"/>
        </w:rPr>
      </w:pPr>
      <w:r>
        <w:rPr>
          <w:rFonts w:cs="Arial"/>
        </w:rPr>
        <w:t>The outcomes in future will continue to be driven by evolving community needs, public feedback, and expert and advisory bodies insights on needs and strategies. So, any changes that are made to projects/activities in the fu</w:t>
      </w:r>
      <w:r>
        <w:rPr>
          <w:rFonts w:cs="Arial"/>
        </w:rPr>
        <w:t>ture action plans, will in fact be driven by local needs. It is noteworthy that the Portland Consortium is beginning a strategic plan period with the adoption of the Consolidated Plan 2021-25 and the outcomes of all associated action plans will be guided b</w:t>
      </w:r>
      <w:r>
        <w:rPr>
          <w:rFonts w:cs="Arial"/>
        </w:rPr>
        <w:t>y the priority needs and goals stipulated in the aforementioned Con Plan. Notably, affordable housing, addressing homelessness,  and promoting community development continue to be the high priority needs of the Portland Consortium.</w:t>
      </w:r>
    </w:p>
    <w:p w:rsidR="00C472E3" w:rsidRDefault="003673FA">
      <w:pPr>
        <w:spacing w:beforeAutospacing="1" w:afterAutospacing="1"/>
        <w:rPr>
          <w:rFonts w:cs="Arial"/>
        </w:rPr>
      </w:pPr>
      <w:r>
        <w:rPr>
          <w:rFonts w:cs="Arial"/>
        </w:rPr>
        <w:t>The ongoing COVID pandem</w:t>
      </w:r>
      <w:r>
        <w:rPr>
          <w:rFonts w:cs="Arial"/>
        </w:rPr>
        <w:t>ic during this Con Plan 2021-25 has imposed extraordinary hardships on low-income households which are overrepresented by households of color. Additionally, the racial equity movement across the nation has highlighted the income and resources disparities e</w:t>
      </w:r>
      <w:r>
        <w:rPr>
          <w:rFonts w:cs="Arial"/>
        </w:rPr>
        <w:t>xperienced by these same households. So, the upcoming Action Plan allocations will prioritize allocations to culturally specific and responsive non-profits that can help Multnomah County ensure equitable access and support to households of color who are ex</w:t>
      </w:r>
      <w:r>
        <w:rPr>
          <w:rFonts w:cs="Arial"/>
        </w:rPr>
        <w:t>periencing poverty and housing instability.</w:t>
      </w:r>
    </w:p>
    <w:p w:rsidR="00C472E3" w:rsidRDefault="003673FA">
      <w:pPr>
        <w:spacing w:beforeAutospacing="1" w:afterAutospacing="1"/>
        <w:rPr>
          <w:rFonts w:cs="Arial"/>
        </w:rPr>
      </w:pPr>
      <w:r>
        <w:rPr>
          <w:rFonts w:cs="Arial"/>
        </w:rPr>
        <w:lastRenderedPageBreak/>
        <w:t>Affordable housing continues to experience challenges that include increased supply availability and inflation cost of construction materials, impacting the total project cost per household. The subrecipients con</w:t>
      </w:r>
      <w:r>
        <w:rPr>
          <w:rFonts w:cs="Arial"/>
        </w:rPr>
        <w:t>tinues to see an increasing need for accessibility modification, as more seniors age in place, as well as younger people with disabilities. They currently have a waiting list and continue to accept applications for this program.  About 40% of requests rece</w:t>
      </w:r>
      <w:r>
        <w:rPr>
          <w:rFonts w:cs="Arial"/>
        </w:rPr>
        <w:t xml:space="preserve">ived are for roof repair, as insurance companies continue to threaten policy cancellation without needed roof repair. Non homeless rehabilitation projects have a waiting list for critical home repairs in Multnomah County is 22 additional households at the </w:t>
      </w:r>
      <w:r>
        <w:rPr>
          <w:rFonts w:cs="Arial"/>
        </w:rPr>
        <w:t>end of PY2022. Multnomah County takes into consideration this growing wait list for those waiting to receive services and holds a discussion with the PAB members during the Annual Action Plan hearing about allocating any additional funds to this housing re</w:t>
      </w:r>
      <w:r>
        <w:rPr>
          <w:rFonts w:cs="Arial"/>
        </w:rPr>
        <w:t xml:space="preserve">habilitation activity when there are unspent funds to allocate from previous years. </w:t>
      </w:r>
    </w:p>
    <w:p w:rsidR="00C472E3" w:rsidRDefault="003673FA">
      <w:pPr>
        <w:spacing w:beforeAutospacing="1" w:afterAutospacing="1"/>
        <w:rPr>
          <w:rFonts w:cs="Arial"/>
        </w:rPr>
      </w:pPr>
      <w:r>
        <w:rPr>
          <w:rFonts w:cs="Arial"/>
        </w:rPr>
        <w:t> </w:t>
      </w:r>
    </w:p>
    <w:p w:rsidR="00C472E3" w:rsidRDefault="003673FA">
      <w:pPr>
        <w:spacing w:beforeAutospacing="1" w:afterAutospacing="1"/>
        <w:rPr>
          <w:rFonts w:cs="Arial"/>
        </w:rPr>
      </w:pPr>
      <w:r>
        <w:rPr>
          <w:rFonts w:cs="Arial"/>
        </w:rPr>
        <w:t> </w:t>
      </w:r>
    </w:p>
    <w:p w:rsidR="00C472E3" w:rsidRDefault="003673FA">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w:t>
      </w:r>
      <w:r>
        <w:rPr>
          <w:b/>
          <w:sz w:val="24"/>
          <w:szCs w:val="24"/>
        </w:rPr>
        <w:t>etermine the eligibility of the activity.</w:t>
      </w:r>
    </w:p>
    <w:p w:rsidR="00C472E3" w:rsidRDefault="00C472E3">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C472E3">
        <w:trPr>
          <w:cantSplit/>
        </w:trPr>
        <w:tc>
          <w:tcPr>
            <w:tcW w:w="4081" w:type="dxa"/>
          </w:tcPr>
          <w:p w:rsidR="00C472E3" w:rsidRDefault="003673FA">
            <w:pPr>
              <w:keepNext/>
              <w:widowControl w:val="0"/>
              <w:spacing w:after="0" w:line="240" w:lineRule="auto"/>
              <w:jc w:val="center"/>
              <w:rPr>
                <w:b/>
              </w:rPr>
            </w:pPr>
            <w:r>
              <w:rPr>
                <w:b/>
              </w:rPr>
              <w:t>Number  of Households Served</w:t>
            </w:r>
          </w:p>
        </w:tc>
        <w:tc>
          <w:tcPr>
            <w:tcW w:w="1859" w:type="dxa"/>
          </w:tcPr>
          <w:p w:rsidR="00C472E3" w:rsidRDefault="003673FA">
            <w:pPr>
              <w:keepNext/>
              <w:widowControl w:val="0"/>
              <w:spacing w:after="0" w:line="240" w:lineRule="auto"/>
              <w:jc w:val="center"/>
              <w:rPr>
                <w:b/>
              </w:rPr>
            </w:pPr>
            <w:r>
              <w:rPr>
                <w:b/>
              </w:rPr>
              <w:t>CDBG Actual</w:t>
            </w:r>
          </w:p>
        </w:tc>
        <w:tc>
          <w:tcPr>
            <w:tcW w:w="1915" w:type="dxa"/>
            <w:gridSpan w:val="2"/>
          </w:tcPr>
          <w:p w:rsidR="00C472E3" w:rsidRDefault="003673FA">
            <w:pPr>
              <w:keepNext/>
              <w:widowControl w:val="0"/>
              <w:spacing w:after="0" w:line="240" w:lineRule="auto"/>
              <w:jc w:val="center"/>
              <w:rPr>
                <w:b/>
              </w:rPr>
            </w:pPr>
            <w:r>
              <w:rPr>
                <w:b/>
              </w:rPr>
              <w:t>HOME Actual</w:t>
            </w:r>
          </w:p>
        </w:tc>
      </w:tr>
      <w:tr w:rsidR="00C472E3">
        <w:trPr>
          <w:gridAfter w:val="1"/>
          <w:wAfter w:w="25" w:type="dxa"/>
          <w:cantSplit/>
        </w:trPr>
        <w:tc>
          <w:tcPr>
            <w:tcW w:w="4081" w:type="dxa"/>
            <w:vAlign w:val="bottom"/>
          </w:tcPr>
          <w:p w:rsidR="00C472E3" w:rsidRDefault="003673FA">
            <w:pPr>
              <w:spacing w:beforeAutospacing="1" w:afterAutospacing="1"/>
            </w:pPr>
            <w:r>
              <w:rPr>
                <w:color w:val="000000"/>
              </w:rPr>
              <w:t>Extremely Low-income</w:t>
            </w:r>
          </w:p>
        </w:tc>
        <w:tc>
          <w:tcPr>
            <w:tcW w:w="1859" w:type="dxa"/>
            <w:vAlign w:val="bottom"/>
          </w:tcPr>
          <w:p w:rsidR="00C472E3" w:rsidRDefault="003673FA">
            <w:pPr>
              <w:spacing w:beforeAutospacing="1" w:afterAutospacing="1"/>
              <w:jc w:val="right"/>
            </w:pPr>
            <w:r>
              <w:rPr>
                <w:color w:val="000000"/>
              </w:rPr>
              <w:t>21</w:t>
            </w:r>
          </w:p>
        </w:tc>
        <w:tc>
          <w:tcPr>
            <w:tcW w:w="1890" w:type="dxa"/>
            <w:vAlign w:val="bottom"/>
          </w:tcPr>
          <w:p w:rsidR="00C472E3" w:rsidRDefault="003673FA">
            <w:pPr>
              <w:spacing w:beforeAutospacing="1" w:afterAutospacing="1"/>
              <w:jc w:val="right"/>
            </w:pPr>
            <w:r>
              <w:rPr>
                <w:color w:val="000000"/>
              </w:rPr>
              <w:t>0</w:t>
            </w:r>
          </w:p>
        </w:tc>
      </w:tr>
      <w:tr w:rsidR="00C472E3">
        <w:trPr>
          <w:gridAfter w:val="1"/>
          <w:wAfter w:w="25" w:type="dxa"/>
          <w:cantSplit/>
        </w:trPr>
        <w:tc>
          <w:tcPr>
            <w:tcW w:w="4081" w:type="dxa"/>
            <w:vAlign w:val="bottom"/>
          </w:tcPr>
          <w:p w:rsidR="00C472E3" w:rsidRDefault="003673FA">
            <w:pPr>
              <w:spacing w:beforeAutospacing="1" w:afterAutospacing="1"/>
            </w:pPr>
            <w:r>
              <w:rPr>
                <w:color w:val="000000"/>
              </w:rPr>
              <w:t>Low-income</w:t>
            </w:r>
          </w:p>
        </w:tc>
        <w:tc>
          <w:tcPr>
            <w:tcW w:w="1859" w:type="dxa"/>
            <w:vAlign w:val="bottom"/>
          </w:tcPr>
          <w:p w:rsidR="00C472E3" w:rsidRDefault="003673FA">
            <w:pPr>
              <w:spacing w:beforeAutospacing="1" w:afterAutospacing="1"/>
              <w:jc w:val="right"/>
            </w:pPr>
            <w:r>
              <w:rPr>
                <w:color w:val="000000"/>
              </w:rPr>
              <w:t>3</w:t>
            </w:r>
          </w:p>
        </w:tc>
        <w:tc>
          <w:tcPr>
            <w:tcW w:w="1890" w:type="dxa"/>
            <w:vAlign w:val="bottom"/>
          </w:tcPr>
          <w:p w:rsidR="00C472E3" w:rsidRDefault="003673FA">
            <w:pPr>
              <w:spacing w:beforeAutospacing="1" w:afterAutospacing="1"/>
              <w:jc w:val="right"/>
            </w:pPr>
            <w:r>
              <w:rPr>
                <w:color w:val="000000"/>
              </w:rPr>
              <w:t>0</w:t>
            </w:r>
          </w:p>
        </w:tc>
      </w:tr>
      <w:tr w:rsidR="00C472E3">
        <w:trPr>
          <w:gridAfter w:val="1"/>
          <w:wAfter w:w="25" w:type="dxa"/>
          <w:cantSplit/>
        </w:trPr>
        <w:tc>
          <w:tcPr>
            <w:tcW w:w="4081" w:type="dxa"/>
            <w:vAlign w:val="bottom"/>
          </w:tcPr>
          <w:p w:rsidR="00C472E3" w:rsidRDefault="003673FA">
            <w:pPr>
              <w:spacing w:beforeAutospacing="1" w:afterAutospacing="1"/>
            </w:pPr>
            <w:r>
              <w:rPr>
                <w:color w:val="000000"/>
              </w:rPr>
              <w:t>Moderate-income</w:t>
            </w:r>
          </w:p>
        </w:tc>
        <w:tc>
          <w:tcPr>
            <w:tcW w:w="1859" w:type="dxa"/>
            <w:vAlign w:val="bottom"/>
          </w:tcPr>
          <w:p w:rsidR="00C472E3" w:rsidRDefault="003673FA">
            <w:pPr>
              <w:spacing w:beforeAutospacing="1" w:afterAutospacing="1"/>
              <w:jc w:val="right"/>
            </w:pPr>
            <w:r>
              <w:rPr>
                <w:color w:val="000000"/>
              </w:rPr>
              <w:t>2</w:t>
            </w:r>
          </w:p>
        </w:tc>
        <w:tc>
          <w:tcPr>
            <w:tcW w:w="1890" w:type="dxa"/>
            <w:vAlign w:val="bottom"/>
          </w:tcPr>
          <w:p w:rsidR="00C472E3" w:rsidRDefault="003673FA">
            <w:pPr>
              <w:spacing w:beforeAutospacing="1" w:afterAutospacing="1"/>
              <w:jc w:val="right"/>
            </w:pPr>
            <w:r>
              <w:rPr>
                <w:color w:val="000000"/>
              </w:rPr>
              <w:t>0</w:t>
            </w:r>
          </w:p>
        </w:tc>
      </w:tr>
      <w:tr w:rsidR="00C472E3">
        <w:trPr>
          <w:gridAfter w:val="1"/>
          <w:wAfter w:w="25" w:type="dxa"/>
          <w:cantSplit/>
        </w:trPr>
        <w:tc>
          <w:tcPr>
            <w:tcW w:w="4081" w:type="dxa"/>
            <w:vAlign w:val="bottom"/>
          </w:tcPr>
          <w:p w:rsidR="00C472E3" w:rsidRDefault="003673FA">
            <w:pPr>
              <w:spacing w:beforeAutospacing="1" w:afterAutospacing="1"/>
            </w:pPr>
            <w:r>
              <w:rPr>
                <w:b/>
                <w:color w:val="000000"/>
              </w:rPr>
              <w:t>Total</w:t>
            </w:r>
          </w:p>
        </w:tc>
        <w:tc>
          <w:tcPr>
            <w:tcW w:w="1859" w:type="dxa"/>
            <w:vAlign w:val="bottom"/>
          </w:tcPr>
          <w:p w:rsidR="00C472E3" w:rsidRDefault="003673FA">
            <w:pPr>
              <w:spacing w:beforeAutospacing="1" w:afterAutospacing="1"/>
              <w:jc w:val="right"/>
            </w:pPr>
            <w:r>
              <w:rPr>
                <w:b/>
                <w:color w:val="000000"/>
              </w:rPr>
              <w:t>26</w:t>
            </w:r>
          </w:p>
        </w:tc>
        <w:tc>
          <w:tcPr>
            <w:tcW w:w="1890" w:type="dxa"/>
            <w:vAlign w:val="bottom"/>
          </w:tcPr>
          <w:p w:rsidR="00C472E3" w:rsidRDefault="003673FA">
            <w:pPr>
              <w:spacing w:beforeAutospacing="1" w:afterAutospacing="1"/>
              <w:jc w:val="right"/>
            </w:pPr>
            <w:r>
              <w:rPr>
                <w:b/>
                <w:color w:val="000000"/>
              </w:rPr>
              <w:t>0</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rsidR="00C472E3" w:rsidRDefault="00C472E3">
      <w:pPr>
        <w:widowControl w:val="0"/>
        <w:spacing w:line="204" w:lineRule="auto"/>
        <w:rPr>
          <w:b/>
          <w:sz w:val="24"/>
          <w:szCs w:val="24"/>
        </w:rPr>
      </w:pPr>
    </w:p>
    <w:p w:rsidR="00C472E3" w:rsidRDefault="00C472E3">
      <w:pPr>
        <w:widowControl w:val="0"/>
        <w:spacing w:line="204" w:lineRule="auto"/>
        <w:rPr>
          <w:b/>
          <w:sz w:val="24"/>
          <w:szCs w:val="24"/>
        </w:rPr>
      </w:pPr>
    </w:p>
    <w:p w:rsidR="00C472E3" w:rsidRDefault="003673FA">
      <w:pPr>
        <w:widowControl w:val="0"/>
        <w:spacing w:line="204" w:lineRule="auto"/>
        <w:rPr>
          <w:b/>
          <w:sz w:val="24"/>
          <w:szCs w:val="24"/>
        </w:rPr>
      </w:pPr>
      <w:r>
        <w:rPr>
          <w:b/>
          <w:sz w:val="24"/>
          <w:szCs w:val="24"/>
        </w:rPr>
        <w:t xml:space="preserve">Narrative </w:t>
      </w:r>
      <w:r>
        <w:rPr>
          <w:b/>
          <w:sz w:val="24"/>
          <w:szCs w:val="24"/>
        </w:rPr>
        <w:t>Information</w:t>
      </w:r>
    </w:p>
    <w:p w:rsidR="00C472E3" w:rsidRDefault="003673FA">
      <w:pPr>
        <w:spacing w:beforeAutospacing="1" w:afterAutospacing="1"/>
        <w:rPr>
          <w:rFonts w:cs="Arial"/>
        </w:rPr>
      </w:pPr>
      <w:r>
        <w:rPr>
          <w:rFonts w:cs="Arial"/>
        </w:rPr>
        <w:t xml:space="preserve">Income data is for the households served through Rehab of Existing Units only. Overall, the income data for all the projects in CR-05 that require income by family size Is 116 total; 67 of those being Extremely Low-income, 21 being Low-income, </w:t>
      </w:r>
      <w:r>
        <w:rPr>
          <w:rFonts w:cs="Arial"/>
        </w:rPr>
        <w:t>3 Moderate-income. One household served by the Community Alliance of Tenants was over 80% AMI.</w:t>
      </w:r>
    </w:p>
    <w:p w:rsidR="00C472E3" w:rsidRDefault="003673FA">
      <w:pPr>
        <w:spacing w:beforeAutospacing="1" w:afterAutospacing="1"/>
        <w:rPr>
          <w:rFonts w:cs="Arial"/>
        </w:rPr>
      </w:pPr>
      <w:r>
        <w:rPr>
          <w:rFonts w:cs="Arial"/>
          <w:b/>
        </w:rPr>
        <w:t>HOME </w:t>
      </w:r>
    </w:p>
    <w:p w:rsidR="00C472E3" w:rsidRDefault="003673FA">
      <w:pPr>
        <w:spacing w:beforeAutospacing="1" w:afterAutospacing="1"/>
        <w:rPr>
          <w:rFonts w:cs="Arial"/>
        </w:rPr>
      </w:pPr>
      <w:r>
        <w:rPr>
          <w:rFonts w:cs="Arial"/>
        </w:rPr>
        <w:t>In May 2020, Metro voters passed ballot measure 26-210, the Supportive Housing Services Measure, which is projected to generate as much as $248 million a y</w:t>
      </w:r>
      <w:r>
        <w:rPr>
          <w:rFonts w:cs="Arial"/>
        </w:rPr>
        <w:t>ear across the region. Funds will be used to expand existing programs and support new services, with the goal of ending chronic homelessness in the region. Metro began disbursing funds to each of the three counties within Metro’s jurisdiction in Summer 202</w:t>
      </w:r>
      <w:r>
        <w:rPr>
          <w:rFonts w:cs="Arial"/>
        </w:rPr>
        <w:t xml:space="preserve">1. Multnomah County used Metro funds in combination with shelter funding from the City of Portland and other federal funds to exceed its shelter goals, creating 163 new shelter beds. As of </w:t>
      </w:r>
      <w:r>
        <w:rPr>
          <w:rFonts w:cs="Arial"/>
        </w:rPr>
        <w:lastRenderedPageBreak/>
        <w:t>March 2022, the county has also placed 452 formerly unhoused househ</w:t>
      </w:r>
      <w:r>
        <w:rPr>
          <w:rFonts w:cs="Arial"/>
        </w:rPr>
        <w:t>olds in permanent supportive housing. Multnomah County also assisted 298 people with rapid rehousing and short-term rent assistance. The county’s Family System Mobile Housing Navigation Team's barrier mitigation program connected 83 people with the legal s</w:t>
      </w:r>
      <w:r>
        <w:rPr>
          <w:rFonts w:cs="Arial"/>
        </w:rPr>
        <w:t>ervices they needed to eliminate barriers to permanent housing.</w:t>
      </w:r>
    </w:p>
    <w:p w:rsidR="00C472E3" w:rsidRDefault="003673FA">
      <w:pPr>
        <w:spacing w:beforeAutospacing="1" w:afterAutospacing="1"/>
        <w:rPr>
          <w:rFonts w:cs="Arial"/>
        </w:rPr>
      </w:pPr>
      <w:r>
        <w:rPr>
          <w:rFonts w:cs="Arial"/>
          <w:b/>
        </w:rPr>
        <w:t>*</w:t>
      </w:r>
      <w:r>
        <w:rPr>
          <w:rFonts w:cs="Arial"/>
        </w:rPr>
        <w:t>Information provided by the City of Portland: The consortium prioritizes affordable housing needs of households that make 0-60% MFI and even the homeownership programs are calibrated not to e</w:t>
      </w:r>
      <w:r>
        <w:rPr>
          <w:rFonts w:cs="Arial"/>
        </w:rPr>
        <w:t>xceed 100% MFI. This priority is reflected in the above table where well over 53% households assisted through CDBG were in “extremely low-income” bracket and nearly 75% of the households assisted through HOME were in the same bracket.</w:t>
      </w:r>
    </w:p>
    <w:p w:rsidR="00C472E3" w:rsidRDefault="003673FA">
      <w:pPr>
        <w:spacing w:beforeAutospacing="1" w:afterAutospacing="1"/>
        <w:rPr>
          <w:rFonts w:cs="Arial"/>
        </w:rPr>
      </w:pPr>
      <w:r>
        <w:rPr>
          <w:rFonts w:cs="Arial"/>
          <w:b/>
          <w:i/>
        </w:rPr>
        <w:t>*Note:</w:t>
      </w:r>
      <w:r>
        <w:rPr>
          <w:rFonts w:cs="Arial"/>
          <w:b/>
        </w:rPr>
        <w:t> </w:t>
      </w:r>
      <w:r>
        <w:rPr>
          <w:rFonts w:cs="Arial"/>
          <w:b/>
          <w:i/>
        </w:rPr>
        <w:t>The City of Po</w:t>
      </w:r>
      <w:r>
        <w:rPr>
          <w:rFonts w:cs="Arial"/>
          <w:b/>
          <w:i/>
        </w:rPr>
        <w:t>rtland manages Multnomah County’s HOME funds. Please see the city of Portland’s 2022 CAPER for HOME reporting information. Multnomah County’s reporting data is from the housing rehabilitation projects conducted by Unlimited Choices. 87% of Multnomah County</w:t>
      </w:r>
      <w:r>
        <w:rPr>
          <w:rFonts w:cs="Arial"/>
          <w:b/>
          <w:i/>
        </w:rPr>
        <w:t>’s Housing Rehabilitation funds served extremely low and low-income households.</w:t>
      </w:r>
    </w:p>
    <w:p w:rsidR="00C472E3" w:rsidRDefault="00C472E3">
      <w:pPr>
        <w:rPr>
          <w:rFonts w:cs="Arial"/>
        </w:rPr>
      </w:pPr>
    </w:p>
    <w:p w:rsidR="00C472E3" w:rsidRDefault="00C472E3">
      <w:pPr>
        <w:pStyle w:val="Heading2"/>
        <w:pageBreakBefore/>
        <w:rPr>
          <w:rFonts w:ascii="Calibri" w:hAnsi="Calibri"/>
          <w:i w:val="0"/>
        </w:rPr>
        <w:sectPr w:rsidR="00C472E3">
          <w:pgSz w:w="12240" w:h="15840" w:code="1"/>
          <w:pgMar w:top="1440" w:right="1440" w:bottom="1440" w:left="1440" w:header="720" w:footer="720" w:gutter="0"/>
          <w:cols w:space="720"/>
          <w:docGrid w:linePitch="360"/>
        </w:sectPr>
      </w:pPr>
    </w:p>
    <w:bookmarkEnd w:id="2"/>
    <w:p w:rsidR="00C472E3" w:rsidRDefault="003673FA">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rsidR="00C472E3" w:rsidRDefault="003673FA">
      <w:pPr>
        <w:keepNext/>
        <w:widowControl w:val="0"/>
        <w:rPr>
          <w:b/>
          <w:sz w:val="24"/>
          <w:szCs w:val="24"/>
        </w:rPr>
      </w:pPr>
      <w:r>
        <w:rPr>
          <w:b/>
          <w:sz w:val="24"/>
          <w:szCs w:val="24"/>
        </w:rPr>
        <w:t>Evaluate the jurisdiction’s progress in meeting its specific objectives for reducing and e</w:t>
      </w:r>
      <w:r>
        <w:rPr>
          <w:b/>
          <w:sz w:val="24"/>
          <w:szCs w:val="24"/>
        </w:rPr>
        <w:t>nding homelessness through:</w:t>
      </w:r>
    </w:p>
    <w:p w:rsidR="00C472E3" w:rsidRDefault="003673FA">
      <w:pPr>
        <w:widowControl w:val="0"/>
        <w:rPr>
          <w:b/>
          <w:sz w:val="24"/>
          <w:szCs w:val="24"/>
        </w:rPr>
      </w:pPr>
      <w:r>
        <w:rPr>
          <w:b/>
          <w:sz w:val="24"/>
          <w:szCs w:val="24"/>
        </w:rPr>
        <w:t>Reaching out to homeless persons (especially unsheltered persons) and assessing their individual needs</w:t>
      </w:r>
    </w:p>
    <w:p w:rsidR="00C472E3" w:rsidRDefault="003673FA">
      <w:pPr>
        <w:widowControl w:val="0"/>
        <w:spacing w:beforeAutospacing="1" w:afterAutospacing="1"/>
        <w:rPr>
          <w:rFonts w:cs="Arial"/>
        </w:rPr>
      </w:pPr>
      <w:r>
        <w:rPr>
          <w:rFonts w:cs="Arial"/>
        </w:rPr>
        <w:t>The Joint Office of Homeless Services (JOHS) is a partnership between the City of Portland and Multnomah County to house, she</w:t>
      </w:r>
      <w:r>
        <w:rPr>
          <w:rFonts w:cs="Arial"/>
        </w:rPr>
        <w:t>lter, and provide employment assistance and case management services to people experiencing homelessness or who are at risk of entering homelessness. The JOHS is the administrative entity for the Multnomah County Continuum of Care, and also serves as the H</w:t>
      </w:r>
      <w:r>
        <w:rPr>
          <w:rFonts w:cs="Arial"/>
        </w:rPr>
        <w:t>MIS Lead for the CoC. The JOHS budget includes funding from federal sources (including annual HUD funding and emergency appropriations related to the COVID-19 pandemic), the State of Oregon, City of Portland and Multnomah County general funds, and the regi</w:t>
      </w:r>
      <w:r>
        <w:rPr>
          <w:rFonts w:cs="Arial"/>
        </w:rPr>
        <w:t>onal Metro tri-County (Multnomah, Washington and Clackamas Counties) jurisdiction’s Supportive Housing Services measure. Our work focuses on six key areas to prevent and end homelessness: Housing, Income &amp; Benefits, Health, Survival &amp; Emergency Services, A</w:t>
      </w:r>
      <w:r>
        <w:rPr>
          <w:rFonts w:cs="Arial"/>
        </w:rPr>
        <w:t>ccess to Services, and Systems Coordination.</w:t>
      </w:r>
    </w:p>
    <w:p w:rsidR="00C472E3" w:rsidRDefault="003673FA">
      <w:pPr>
        <w:widowControl w:val="0"/>
        <w:spacing w:beforeAutospacing="1" w:afterAutospacing="1"/>
        <w:rPr>
          <w:rFonts w:cs="Arial"/>
        </w:rPr>
      </w:pPr>
      <w:r>
        <w:rPr>
          <w:rFonts w:cs="Arial"/>
        </w:rPr>
        <w:t>Individuals experiencing homelessness in Multnomah County continue to be affected by a severe affordable housing shortage in the Portland metro area. According to the National Low-Income Housing Coalition’s rece</w:t>
      </w:r>
      <w:r>
        <w:rPr>
          <w:rFonts w:cs="Arial"/>
        </w:rPr>
        <w:t>ntly-released “Gap Report”, there are only 22 affordable and available rental units per 100 households earning at or below 30 percent of the area median income. Among these extremely low-income households, 79 percent are severely rent burdened, meaning the</w:t>
      </w:r>
      <w:r>
        <w:rPr>
          <w:rFonts w:cs="Arial"/>
        </w:rPr>
        <w:t>y spend more than half of their monthly income on rent. This situation makes it difficult for individuals experiencing homelessness to secure permanent housing. The number of persons experiencing homelessness counted in the Point in Time Count increased by</w:t>
      </w:r>
      <w:r>
        <w:rPr>
          <w:rFonts w:cs="Arial"/>
        </w:rPr>
        <w:t xml:space="preserve"> 20 percent between 2022 and 2023, with sizeable increases in both the unsheltered and sheltered communities.</w:t>
      </w:r>
    </w:p>
    <w:p w:rsidR="00C472E3" w:rsidRDefault="003673FA">
      <w:pPr>
        <w:widowControl w:val="0"/>
        <w:spacing w:beforeAutospacing="1" w:afterAutospacing="1"/>
        <w:rPr>
          <w:rFonts w:cs="Arial"/>
        </w:rPr>
      </w:pPr>
      <w:r>
        <w:rPr>
          <w:rFonts w:cs="Arial"/>
        </w:rPr>
        <w:t>In FY 2022-23, our key performance measures included:</w:t>
      </w:r>
    </w:p>
    <w:p w:rsidR="00C472E3" w:rsidRDefault="003673FA">
      <w:pPr>
        <w:widowControl w:val="0"/>
        <w:numPr>
          <w:ilvl w:val="0"/>
          <w:numId w:val="3"/>
        </w:numPr>
        <w:spacing w:beforeAutospacing="1" w:afterAutospacing="1"/>
        <w:rPr>
          <w:rFonts w:cs="Arial"/>
        </w:rPr>
      </w:pPr>
      <w:r>
        <w:rPr>
          <w:rFonts w:cs="Arial"/>
        </w:rPr>
        <w:t>4,270 people placed in permanent housing, of whom 61 percent identified as BIPOC;</w:t>
      </w:r>
    </w:p>
    <w:p w:rsidR="00C472E3" w:rsidRDefault="003673FA">
      <w:pPr>
        <w:widowControl w:val="0"/>
        <w:numPr>
          <w:ilvl w:val="0"/>
          <w:numId w:val="3"/>
        </w:numPr>
        <w:spacing w:beforeAutospacing="1" w:afterAutospacing="1"/>
        <w:rPr>
          <w:rFonts w:cs="Arial"/>
        </w:rPr>
      </w:pPr>
      <w:r>
        <w:rPr>
          <w:rFonts w:cs="Arial"/>
        </w:rPr>
        <w:t>30,090 peo</w:t>
      </w:r>
      <w:r>
        <w:rPr>
          <w:rFonts w:cs="Arial"/>
        </w:rPr>
        <w:t>ple prevented from becoming homeless, reflecting the continuing impact of COVID-19 related funding;</w:t>
      </w:r>
    </w:p>
    <w:p w:rsidR="00C472E3" w:rsidRDefault="003673FA">
      <w:pPr>
        <w:widowControl w:val="0"/>
        <w:numPr>
          <w:ilvl w:val="0"/>
          <w:numId w:val="3"/>
        </w:numPr>
        <w:spacing w:beforeAutospacing="1" w:afterAutospacing="1"/>
        <w:rPr>
          <w:rFonts w:cs="Arial"/>
        </w:rPr>
      </w:pPr>
      <w:r>
        <w:rPr>
          <w:rFonts w:cs="Arial"/>
        </w:rPr>
        <w:t>1,590 shelter beds funded, with an average daily utilization rate of 92 percent; and</w:t>
      </w:r>
    </w:p>
    <w:p w:rsidR="00C472E3" w:rsidRDefault="003673FA">
      <w:pPr>
        <w:widowControl w:val="0"/>
        <w:numPr>
          <w:ilvl w:val="0"/>
          <w:numId w:val="3"/>
        </w:numPr>
        <w:spacing w:beforeAutospacing="1" w:afterAutospacing="1"/>
        <w:rPr>
          <w:rFonts w:cs="Arial"/>
        </w:rPr>
      </w:pPr>
      <w:r>
        <w:rPr>
          <w:rFonts w:cs="Arial"/>
        </w:rPr>
        <w:t>6,905 people served in emergency shelter, of whom 49 percent identified</w:t>
      </w:r>
      <w:r>
        <w:rPr>
          <w:rFonts w:cs="Arial"/>
        </w:rPr>
        <w:t xml:space="preserve"> as BIPOC.</w:t>
      </w:r>
    </w:p>
    <w:p w:rsidR="00C472E3" w:rsidRDefault="003673FA">
      <w:pPr>
        <w:widowControl w:val="0"/>
        <w:spacing w:beforeAutospacing="1" w:afterAutospacing="1"/>
        <w:rPr>
          <w:rFonts w:cs="Arial"/>
        </w:rPr>
      </w:pPr>
      <w:r>
        <w:rPr>
          <w:rFonts w:cs="Arial"/>
        </w:rPr>
        <w:t>The jurisdiction, under the organization of its Continuum of Care (CoC), invested in several nonprofits that conducted street outreach to identify &amp; engage unsheltered persons on the streets, in cars, camps and other locations throughout our ful</w:t>
      </w:r>
      <w:r>
        <w:rPr>
          <w:rFonts w:cs="Arial"/>
        </w:rPr>
        <w:t>l geography. Outreach staff also responded to some of the 161,629 contacts who sought help through</w:t>
      </w:r>
      <w:r>
        <w:rPr>
          <w:rFonts w:cs="Arial"/>
          <w:b/>
        </w:rPr>
        <w:t xml:space="preserve"> </w:t>
      </w:r>
      <w:r>
        <w:rPr>
          <w:rFonts w:cs="Arial"/>
        </w:rPr>
        <w:t>211info</w:t>
      </w:r>
      <w:r>
        <w:rPr>
          <w:rFonts w:cs="Arial"/>
          <w:b/>
        </w:rPr>
        <w:t xml:space="preserve"> </w:t>
      </w:r>
      <w:r>
        <w:rPr>
          <w:rFonts w:cs="Arial"/>
        </w:rPr>
        <w:t xml:space="preserve">over the phone, text, email, web search and mobile app (53,584 phone only). Approximately 50 percent of those who contacted 211info were seeking </w:t>
      </w:r>
      <w:r>
        <w:rPr>
          <w:rFonts w:cs="Arial"/>
        </w:rPr>
        <w:lastRenderedPageBreak/>
        <w:t>housing assistance, and of those responding to a question regarding homeless status, about 46 percent said that</w:t>
      </w:r>
      <w:r>
        <w:rPr>
          <w:rFonts w:cs="Arial"/>
        </w:rPr>
        <w:t xml:space="preserve"> they were currently experiencing homelessness. Participants were entered into HMIS, assessed through coordinated entry, and connected to appropriate housing and services.</w:t>
      </w:r>
    </w:p>
    <w:p w:rsidR="00C472E3" w:rsidRDefault="003673FA">
      <w:pPr>
        <w:widowControl w:val="0"/>
        <w:spacing w:beforeAutospacing="1" w:afterAutospacing="1"/>
        <w:rPr>
          <w:rFonts w:cs="Arial"/>
        </w:rPr>
      </w:pPr>
      <w:r>
        <w:rPr>
          <w:rFonts w:cs="Arial"/>
        </w:rPr>
        <w:t>The Behavioral Health Resource Center, operated in partnership with the Multnomah Co</w:t>
      </w:r>
      <w:r>
        <w:rPr>
          <w:rFonts w:cs="Arial"/>
        </w:rPr>
        <w:t xml:space="preserve">unty Health Department, opened its day center in the winter of 2022 and has the capacity to serve 100 clients per day. The largest of these, the </w:t>
      </w:r>
      <w:r>
        <w:rPr>
          <w:rFonts w:cs="Arial"/>
          <w:b/>
        </w:rPr>
        <w:t>day center at Bud Clark Commons</w:t>
      </w:r>
      <w:r>
        <w:rPr>
          <w:rFonts w:cs="Arial"/>
        </w:rPr>
        <w:t xml:space="preserve"> served 4,491 individuals. Finally, the jurisdiction continued to fund long-stan</w:t>
      </w:r>
      <w:r>
        <w:rPr>
          <w:rFonts w:cs="Arial"/>
        </w:rPr>
        <w:t>ding street-to-home placement directly into supportive housing programs (including Permanent Supportive Housing, Rapid Rehousing, and other housing) using leveraged local, HUD CoC, and housing authority resources. Collectively, these programs helped more t</w:t>
      </w:r>
      <w:r>
        <w:rPr>
          <w:rFonts w:cs="Arial"/>
        </w:rPr>
        <w:t>han 4,200 people in over 3,000 households move into permanent housing.</w:t>
      </w:r>
    </w:p>
    <w:p w:rsidR="00C472E3" w:rsidRDefault="003673FA">
      <w:pPr>
        <w:widowControl w:val="0"/>
        <w:rPr>
          <w:b/>
          <w:sz w:val="24"/>
          <w:szCs w:val="24"/>
        </w:rPr>
      </w:pPr>
      <w:r>
        <w:rPr>
          <w:b/>
          <w:sz w:val="24"/>
          <w:szCs w:val="24"/>
        </w:rPr>
        <w:t>Addressing the emergency shelter and transitional housing needs of homeless persons</w:t>
      </w:r>
    </w:p>
    <w:p w:rsidR="00C472E3" w:rsidRDefault="003673FA">
      <w:pPr>
        <w:widowControl w:val="0"/>
        <w:spacing w:beforeAutospacing="1" w:afterAutospacing="1"/>
        <w:rPr>
          <w:rFonts w:cs="Arial"/>
        </w:rPr>
      </w:pPr>
      <w:r>
        <w:rPr>
          <w:rFonts w:cs="Arial"/>
        </w:rPr>
        <w:t>In 2016, the CoC Board adopted final community program guidelines for a range of homeless services, i</w:t>
      </w:r>
      <w:r>
        <w:rPr>
          <w:rFonts w:cs="Arial"/>
        </w:rPr>
        <w:t>ncluding emergency shelter and transitional housing that were generated through a broad community engagement process coordinated by the CoC and staffed by national technical assistance providers from CSH. The guidelines describe emergency shelter and trans</w:t>
      </w:r>
      <w:r>
        <w:rPr>
          <w:rFonts w:cs="Arial"/>
        </w:rPr>
        <w:t>itional housing activities and outline for each: populations served and prioritized, effective practices, and minimum and ideal operating standards. Investment of resources within this strategic plan, including ESG and HOPWA, were prioritized for investmen</w:t>
      </w:r>
      <w:r>
        <w:rPr>
          <w:rFonts w:cs="Arial"/>
        </w:rPr>
        <w:t>t in aligned activities through direct coordination with the CoC.</w:t>
      </w:r>
    </w:p>
    <w:p w:rsidR="00C472E3" w:rsidRDefault="003673FA">
      <w:pPr>
        <w:widowControl w:val="0"/>
        <w:spacing w:beforeAutospacing="1" w:afterAutospacing="1"/>
        <w:rPr>
          <w:rFonts w:cs="Arial"/>
        </w:rPr>
      </w:pPr>
      <w:r>
        <w:rPr>
          <w:rFonts w:cs="Arial"/>
        </w:rPr>
        <w:t xml:space="preserve">In FY 2022-23, the jurisdiction, through its CoC, served over 6,900 people in </w:t>
      </w:r>
      <w:r>
        <w:rPr>
          <w:rFonts w:cs="Arial"/>
          <w:b/>
        </w:rPr>
        <w:t>emergency shelter</w:t>
      </w:r>
      <w:r>
        <w:rPr>
          <w:rFonts w:cs="Arial"/>
        </w:rPr>
        <w:t xml:space="preserve">, a 15 percent increase from the total served in the prior fiscal year. This increase reflects </w:t>
      </w:r>
      <w:r>
        <w:rPr>
          <w:rFonts w:cs="Arial"/>
        </w:rPr>
        <w:t>the added shelter bed capacity in our system during the fiscal year, from 1,370 beds in June 2022 to 1,590 beds in June 2023. The jurisdiction served around 1,380 people in transitional housing, with 41 percent of exiting clients moving to permanent housin</w:t>
      </w:r>
      <w:r>
        <w:rPr>
          <w:rFonts w:cs="Arial"/>
        </w:rPr>
        <w:t>g.</w:t>
      </w:r>
    </w:p>
    <w:p w:rsidR="00C472E3" w:rsidRDefault="003673FA">
      <w:pPr>
        <w:widowControl w:val="0"/>
        <w:spacing w:beforeAutospacing="1" w:afterAutospacing="1"/>
        <w:rPr>
          <w:rFonts w:cs="Arial"/>
        </w:rPr>
      </w:pPr>
      <w:r>
        <w:rPr>
          <w:rFonts w:cs="Arial"/>
        </w:rPr>
        <w:t xml:space="preserve">The jurisdiction, through its local Continuum of Care (CoC) tracks length of time homeless using: Homeless Management Information System (HMIS) data, coordinated entry (CE) systems, name registries, CoC and Emergency Solutions Grant (ESG) project data, </w:t>
      </w:r>
      <w:r>
        <w:rPr>
          <w:rFonts w:cs="Arial"/>
        </w:rPr>
        <w:t>and CoC system mapping. We report related HUD system performance measures for average and median length of time spent homeless, through the HDX as required by HUD guidance.</w:t>
      </w:r>
    </w:p>
    <w:p w:rsidR="00C472E3" w:rsidRDefault="003673FA">
      <w:pPr>
        <w:widowControl w:val="0"/>
        <w:spacing w:beforeAutospacing="1" w:afterAutospacing="1"/>
        <w:rPr>
          <w:rFonts w:cs="Arial"/>
        </w:rPr>
      </w:pPr>
      <w:r>
        <w:rPr>
          <w:rFonts w:cs="Arial"/>
        </w:rPr>
        <w:t xml:space="preserve">Excluding domestic violence shelters, the </w:t>
      </w:r>
      <w:r>
        <w:rPr>
          <w:rFonts w:cs="Arial"/>
          <w:b/>
        </w:rPr>
        <w:t>average length of time spent in emergency shelter</w:t>
      </w:r>
      <w:r>
        <w:rPr>
          <w:rFonts w:cs="Arial"/>
        </w:rPr>
        <w:t xml:space="preserve"> for people exiting shelter continued to increase between FY 2020-21 and FY 2022-23, from 62 days in FY 2020-21 to 68 days in FY 2021-22 and 85 days in FY 2022-23. This reflects continued constraints in the </w:t>
      </w:r>
      <w:r>
        <w:rPr>
          <w:rFonts w:cs="Arial"/>
        </w:rPr>
        <w:t xml:space="preserve">regional housing market and difficulties with housing search and placement, especially for those with multiple barriers to housing. The </w:t>
      </w:r>
      <w:r>
        <w:rPr>
          <w:rFonts w:cs="Arial"/>
          <w:b/>
        </w:rPr>
        <w:t>average length of time spent in transitional housing</w:t>
      </w:r>
      <w:r>
        <w:rPr>
          <w:rFonts w:cs="Arial"/>
        </w:rPr>
        <w:t xml:space="preserve"> decreased slightly for leavers from FY 2020-21 to FY 2022-23, from </w:t>
      </w:r>
      <w:r>
        <w:rPr>
          <w:rFonts w:cs="Arial"/>
        </w:rPr>
        <w:t>179 to 172 days.</w:t>
      </w:r>
    </w:p>
    <w:p w:rsidR="00C472E3" w:rsidRDefault="003673FA">
      <w:pPr>
        <w:widowControl w:val="0"/>
        <w:rPr>
          <w:b/>
          <w:sz w:val="24"/>
          <w:szCs w:val="24"/>
        </w:rPr>
      </w:pPr>
      <w:r>
        <w:rPr>
          <w:b/>
          <w:sz w:val="24"/>
          <w:szCs w:val="24"/>
        </w:rPr>
        <w:t xml:space="preserve">Helping low-income individuals and families avoid becoming homeless, especially extremely </w:t>
      </w:r>
      <w:r>
        <w:rPr>
          <w:b/>
          <w:sz w:val="24"/>
          <w:szCs w:val="24"/>
        </w:rPr>
        <w:lastRenderedPageBreak/>
        <w:t>low-income individuals and families and those who are:  likely to become homeless after being discharged from publicly funded institutions and system</w:t>
      </w:r>
      <w:r>
        <w:rPr>
          <w:b/>
          <w:sz w:val="24"/>
          <w:szCs w:val="24"/>
        </w:rPr>
        <w:t>s of care (such as health care facilities, mental health facilities, foster care and other youth facilities, and corrections programs and institutions);  and,  receiving assistance from public or private agencies that address housing, health, social servic</w:t>
      </w:r>
      <w:r>
        <w:rPr>
          <w:b/>
          <w:sz w:val="24"/>
          <w:szCs w:val="24"/>
        </w:rPr>
        <w:t>es, employment, education, or youth needs</w:t>
      </w:r>
    </w:p>
    <w:p w:rsidR="00C472E3" w:rsidRDefault="003673FA">
      <w:pPr>
        <w:widowControl w:val="0"/>
        <w:spacing w:beforeAutospacing="1" w:afterAutospacing="1"/>
        <w:rPr>
          <w:rFonts w:cs="Arial"/>
        </w:rPr>
      </w:pPr>
      <w:r>
        <w:rPr>
          <w:rFonts w:cs="Arial"/>
        </w:rPr>
        <w:t>In FY 2022-23, the jurisdiction, through its Continuum of Care (CoC), continued prior year local funding increases for homelessness prevention and shelter diversion with a goal to maintain system-level homelessness</w:t>
      </w:r>
      <w:r>
        <w:rPr>
          <w:rFonts w:cs="Arial"/>
        </w:rPr>
        <w:t xml:space="preserve"> prevention efforts through continued eviction prevention-focused rent assistance, clinical staff to work with people with disabilities in affordable housing units to prevent eviction, housing stabilization workers to assist patients as they enter and prep</w:t>
      </w:r>
      <w:r>
        <w:rPr>
          <w:rFonts w:cs="Arial"/>
        </w:rPr>
        <w:t>are to exit health care facilities, and legal representation for people at risk of homelessness. The jurisdiction funds a range of homelessness prevention and diversion activities that assist households at risk of becoming homeless. We identify risk factor</w:t>
      </w:r>
      <w:r>
        <w:rPr>
          <w:rFonts w:cs="Arial"/>
        </w:rPr>
        <w:t>s through the direct participation of CoC board members (including members with lived experience of homelessness) who represent service providers and community stakeholders and provide policy guidance, and service data analysis from “front door” entities (</w:t>
      </w:r>
      <w:r>
        <w:rPr>
          <w:rFonts w:cs="Arial"/>
        </w:rPr>
        <w:t>211info line, shelters, day centers, mainstream services). An ongoing example of a partnership between the CoC and a public agency providing other social services is the Promoting Access to Hope (PATH) program. The PATH program connects people who are expe</w:t>
      </w:r>
      <w:r>
        <w:rPr>
          <w:rFonts w:cs="Arial"/>
        </w:rPr>
        <w:t>riencing or at risk of homelessness to behavioral health and recovery services, and provides housing navigation services to help them overcome barriers to stable housing. The CoC also funds rent assistance provided through the PATH program.</w:t>
      </w:r>
    </w:p>
    <w:p w:rsidR="00C472E3" w:rsidRDefault="003673FA">
      <w:pPr>
        <w:widowControl w:val="0"/>
        <w:spacing w:beforeAutospacing="1" w:afterAutospacing="1"/>
        <w:rPr>
          <w:rFonts w:cs="Arial"/>
        </w:rPr>
      </w:pPr>
      <w:r>
        <w:rPr>
          <w:rFonts w:cs="Arial"/>
        </w:rPr>
        <w:t>Referrals to pr</w:t>
      </w:r>
      <w:r>
        <w:rPr>
          <w:rFonts w:cs="Arial"/>
        </w:rPr>
        <w:t xml:space="preserve">evention resources in the jurisdiction occur through our coordinated entry for families at the time of initial screening. Our locally funded Short Term Rent Assistance program provides eviction prevention for households before they become homeless using a </w:t>
      </w:r>
      <w:r>
        <w:rPr>
          <w:rFonts w:cs="Arial"/>
        </w:rPr>
        <w:t xml:space="preserve">range of state, local, and federal funding. Shelter providers incorporate diversion resources prior to intake with rental assistance and mobile housing retention services. Collectively, these providers served more than 30,000 people with </w:t>
      </w:r>
      <w:r>
        <w:rPr>
          <w:rFonts w:cs="Arial"/>
          <w:b/>
        </w:rPr>
        <w:t>prevention resourc</w:t>
      </w:r>
      <w:r>
        <w:rPr>
          <w:rFonts w:cs="Arial"/>
          <w:b/>
        </w:rPr>
        <w:t>es</w:t>
      </w:r>
      <w:r>
        <w:rPr>
          <w:rFonts w:cs="Arial"/>
        </w:rPr>
        <w:t xml:space="preserve"> during FY 2021-22, over four times the number served in FY 2019-20.</w:t>
      </w:r>
    </w:p>
    <w:p w:rsidR="00C472E3" w:rsidRDefault="003673FA">
      <w:pPr>
        <w:widowControl w:val="0"/>
        <w:spacing w:beforeAutospacing="1" w:afterAutospacing="1"/>
        <w:rPr>
          <w:rFonts w:cs="Arial"/>
        </w:rPr>
      </w:pPr>
      <w:r>
        <w:rPr>
          <w:rFonts w:cs="Arial"/>
        </w:rPr>
        <w:t xml:space="preserve">HMIS-based system performance measures indicated that from FY 2021-22 to FY 2022-23 the percentage of adults exiting CoC-funded projects with </w:t>
      </w:r>
      <w:r>
        <w:rPr>
          <w:rFonts w:cs="Arial"/>
          <w:b/>
        </w:rPr>
        <w:t>increased total income</w:t>
      </w:r>
      <w:r>
        <w:rPr>
          <w:rFonts w:cs="Arial"/>
        </w:rPr>
        <w:t xml:space="preserve"> decreased slightly, </w:t>
      </w:r>
      <w:r>
        <w:rPr>
          <w:rFonts w:cs="Arial"/>
        </w:rPr>
        <w:t>from 25 percent to 22 percent. This decline reflects a continuing challenging labor market during this fiscal year, and continued increased demand for benefits leading to delays in receiving benefits. The jurisdiction will continue to pursue planning and s</w:t>
      </w:r>
      <w:r>
        <w:rPr>
          <w:rFonts w:cs="Arial"/>
        </w:rPr>
        <w:t>trategies to improve participant income through a range of targeted programs and partnerships with local nonprofit agencies.</w:t>
      </w:r>
    </w:p>
    <w:p w:rsidR="00C472E3" w:rsidRDefault="003673FA">
      <w:pPr>
        <w:widowControl w:val="0"/>
        <w:rPr>
          <w:b/>
          <w:sz w:val="24"/>
          <w:szCs w:val="24"/>
        </w:rPr>
      </w:pPr>
      <w:r>
        <w:rPr>
          <w:b/>
          <w:sz w:val="24"/>
          <w:szCs w:val="24"/>
        </w:rPr>
        <w:t>Helping homeless persons (especially chronically homeless individuals and families, families with children, veterans and their fami</w:t>
      </w:r>
      <w:r>
        <w:rPr>
          <w:b/>
          <w:sz w:val="24"/>
          <w:szCs w:val="24"/>
        </w:rPr>
        <w:t>lies, and unaccompanied youth) make the transition to permanent housing and independent living, including shortening the period of time that individuals and families experience homelessness, facilitating access for homeless individuals and families to affo</w:t>
      </w:r>
      <w:r>
        <w:rPr>
          <w:b/>
          <w:sz w:val="24"/>
          <w:szCs w:val="24"/>
        </w:rPr>
        <w:t xml:space="preserve">rdable housing units, and preventing individuals and families who were </w:t>
      </w:r>
      <w:r>
        <w:rPr>
          <w:b/>
          <w:sz w:val="24"/>
          <w:szCs w:val="24"/>
        </w:rPr>
        <w:lastRenderedPageBreak/>
        <w:t>recently homeless from becoming homeless again</w:t>
      </w:r>
    </w:p>
    <w:p w:rsidR="00C472E3" w:rsidRDefault="003673FA">
      <w:pPr>
        <w:widowControl w:val="0"/>
        <w:spacing w:beforeAutospacing="1" w:afterAutospacing="1"/>
        <w:rPr>
          <w:rFonts w:cs="Arial"/>
        </w:rPr>
      </w:pPr>
      <w:r>
        <w:rPr>
          <w:rFonts w:cs="Arial"/>
        </w:rPr>
        <w:t>The jurisdiction, through our CoC, used the following strategies to reduce length of time individuals experience homelessness: partnership</w:t>
      </w:r>
      <w:r>
        <w:rPr>
          <w:rFonts w:cs="Arial"/>
        </w:rPr>
        <w:t>s with street outreach teams, shelters and day centers to increase effective engagement; CE to connect people to diversion and rapid rehousing (RRH) resources; adopting HUD’s Notice CPD-14-012 prioritization policy for our expanded permanent supportive hou</w:t>
      </w:r>
      <w:r>
        <w:rPr>
          <w:rFonts w:cs="Arial"/>
        </w:rPr>
        <w:t>sing (PSH) CE; prioritizing units for chronically homeless families and individuals at turnover; the Short Term Rent Assistance program which equips shelters and mobile staff with RRH; and the Veterans registry to prioritize VASH and other Veteran-specific</w:t>
      </w:r>
      <w:r>
        <w:rPr>
          <w:rFonts w:cs="Arial"/>
        </w:rPr>
        <w:t xml:space="preserve"> housing programs based on length of time homeless. Collectively, these programs helped to place over 4,200 people in more than 3,000 households into permanent housing in FY 2022-23.</w:t>
      </w:r>
    </w:p>
    <w:p w:rsidR="00C472E3" w:rsidRDefault="003673FA">
      <w:pPr>
        <w:widowControl w:val="0"/>
        <w:spacing w:beforeAutospacing="1" w:afterAutospacing="1"/>
        <w:rPr>
          <w:rFonts w:cs="Arial"/>
        </w:rPr>
      </w:pPr>
      <w:r>
        <w:rPr>
          <w:rFonts w:cs="Arial"/>
        </w:rPr>
        <w:t>Local funding partners (City of Portland, Multnomah County, and Home Forw</w:t>
      </w:r>
      <w:r>
        <w:rPr>
          <w:rFonts w:cs="Arial"/>
        </w:rPr>
        <w:t>ard - the local housing authority) collaborated extensively with community stakeholders to increase PSH by incenting set aside of PSH units in new and existing housing developments and prioritizing CoC and other funding for development of new PSH units for</w:t>
      </w:r>
      <w:r>
        <w:rPr>
          <w:rFonts w:cs="Arial"/>
        </w:rPr>
        <w:t xml:space="preserve"> chronically homeless households.  In October 2017, the City and County jointly committed to creating at least 2,000 new units of supportive housing by 2028. This expansion is supported by the passage of the Portland Housing Bond in 2016, the Metro Housing</w:t>
      </w:r>
      <w:r>
        <w:rPr>
          <w:rFonts w:cs="Arial"/>
        </w:rPr>
        <w:t xml:space="preserve"> Bond in 2018, and the Metro Supportive Housing Services (SHS) Measure in 2020. Since this commitment was made, over 1,100 new supportive housing units have come online and over 970 units are in the pipeline and expected to come online within the next 1-3 </w:t>
      </w:r>
      <w:r>
        <w:rPr>
          <w:rFonts w:cs="Arial"/>
        </w:rPr>
        <w:t>years. Funding from the Metro SHS Measure supported over 1,700 people in permanent housing during FY 2021-22, and an additional 624 people were placed in permanent housing with this funding during FY 2022-23. The CoC also annually applies for additional PS</w:t>
      </w:r>
      <w:r>
        <w:rPr>
          <w:rFonts w:cs="Arial"/>
        </w:rPr>
        <w:t>H funding through HUD CoC, VASH, and other sources. The CoC increased the number of PSH beds reported in its Housing Inventory Count to 5,590 in FY 2022-23 from 5,300 in FY 2021-22, exceeding last year’s increase. </w:t>
      </w:r>
    </w:p>
    <w:p w:rsidR="00C472E3" w:rsidRDefault="003673FA">
      <w:pPr>
        <w:widowControl w:val="0"/>
        <w:spacing w:beforeAutospacing="1" w:afterAutospacing="1"/>
        <w:rPr>
          <w:rFonts w:cs="Arial"/>
        </w:rPr>
      </w:pPr>
      <w:r>
        <w:rPr>
          <w:rFonts w:cs="Arial"/>
        </w:rPr>
        <w:t>Using HMIS data, our CoC tracks returns t</w:t>
      </w:r>
      <w:r>
        <w:rPr>
          <w:rFonts w:cs="Arial"/>
        </w:rPr>
        <w:t>o the homelessness services system among those who exited to permanent housing in the prior two years. The reported rate of returns within a two-year period increased slightly, from 15 percent among those who exited to a permanent housing destination in FY</w:t>
      </w:r>
      <w:r>
        <w:rPr>
          <w:rFonts w:cs="Arial"/>
        </w:rPr>
        <w:t xml:space="preserve"> 2019-20, to 19 percent for those who exited to permanent housing in FY 2020-21. To continue reducing the number of people returning to homelessness, we will continue investing in successful strategies such as: 1) flexible local housing retention funds to </w:t>
      </w:r>
      <w:r>
        <w:rPr>
          <w:rFonts w:cs="Arial"/>
        </w:rPr>
        <w:t>stabilize households who may face a temporary crisis that places them at risk; 2) landlord recruitment and guarantee funds to ensure households placed in private market units have additional resources for stability; 3) resume active retention monitoring at</w:t>
      </w:r>
      <w:r>
        <w:rPr>
          <w:rFonts w:cs="Arial"/>
        </w:rPr>
        <w:t xml:space="preserve"> 6- and 12-month post subsidy to assess outcomes.</w:t>
      </w:r>
    </w:p>
    <w:p w:rsidR="00C472E3" w:rsidRDefault="00C472E3">
      <w:pPr>
        <w:widowControl w:val="0"/>
        <w:rPr>
          <w:rFonts w:cs="Arial"/>
          <w:szCs w:val="26"/>
        </w:rPr>
      </w:pPr>
    </w:p>
    <w:p w:rsidR="00C472E3" w:rsidRDefault="003673FA">
      <w:pPr>
        <w:pStyle w:val="Heading2"/>
        <w:pageBreakBefore/>
        <w:widowControl w:val="0"/>
        <w:rPr>
          <w:rFonts w:ascii="Calibri" w:hAnsi="Calibri"/>
          <w:i w:val="0"/>
        </w:rPr>
      </w:pPr>
      <w:r>
        <w:rPr>
          <w:rFonts w:ascii="Calibri" w:hAnsi="Calibri"/>
          <w:i w:val="0"/>
        </w:rPr>
        <w:lastRenderedPageBreak/>
        <w:t>CR-30 - Public Housing 91.220(h); 91.320(j)</w:t>
      </w:r>
    </w:p>
    <w:p w:rsidR="00C472E3" w:rsidRDefault="003673FA">
      <w:pPr>
        <w:keepNext/>
        <w:widowControl w:val="0"/>
        <w:rPr>
          <w:b/>
          <w:sz w:val="24"/>
          <w:szCs w:val="24"/>
        </w:rPr>
      </w:pPr>
      <w:r>
        <w:rPr>
          <w:b/>
          <w:sz w:val="24"/>
          <w:szCs w:val="24"/>
        </w:rPr>
        <w:t>Actions taken to address the needs of public housing</w:t>
      </w:r>
    </w:p>
    <w:p w:rsidR="00C472E3" w:rsidRDefault="003673FA">
      <w:pPr>
        <w:keepNext/>
        <w:widowControl w:val="0"/>
        <w:spacing w:beforeAutospacing="1" w:afterAutospacing="1"/>
        <w:rPr>
          <w:rFonts w:cs="Arial"/>
        </w:rPr>
      </w:pPr>
      <w:r>
        <w:rPr>
          <w:rFonts w:cs="Arial"/>
        </w:rPr>
        <w:t>Public Housing units are directly subsidized by HUD and managed by Home Forward, the County’s PHA.</w:t>
      </w:r>
      <w:r>
        <w:rPr>
          <w:rFonts w:cs="Arial"/>
        </w:rPr>
        <w:br/>
        <w:t xml:space="preserve">The goal </w:t>
      </w:r>
      <w:r>
        <w:rPr>
          <w:rFonts w:cs="Arial"/>
        </w:rPr>
        <w:t>of the Public Housing program is to provide decent, safe, affordable housing to low-income</w:t>
      </w:r>
      <w:r>
        <w:rPr>
          <w:rFonts w:cs="Arial"/>
        </w:rPr>
        <w:br/>
        <w:t>families and individuals, the elderly, persons with disabilities and to encourage successful residency. The</w:t>
      </w:r>
      <w:r>
        <w:rPr>
          <w:rFonts w:cs="Arial"/>
        </w:rPr>
        <w:br/>
        <w:t>public housing program of Home Forward is composed of a p</w:t>
      </w:r>
      <w:r>
        <w:rPr>
          <w:rFonts w:cs="Arial"/>
        </w:rPr>
        <w:t>ortfolio of 369 units of public housing</w:t>
      </w:r>
      <w:r>
        <w:rPr>
          <w:rFonts w:cs="Arial"/>
        </w:rPr>
        <w:br/>
        <w:t>throughout Multnomah County which are owned and operated by Home Forward. Home Forward has</w:t>
      </w:r>
      <w:r>
        <w:rPr>
          <w:rFonts w:cs="Arial"/>
        </w:rPr>
        <w:br/>
        <w:t>few public housing units because, like many public housing authorities across the country, Home</w:t>
      </w:r>
      <w:r>
        <w:rPr>
          <w:rFonts w:cs="Arial"/>
        </w:rPr>
        <w:br/>
        <w:t>Forward decided to convert it</w:t>
      </w:r>
      <w:r>
        <w:rPr>
          <w:rFonts w:cs="Arial"/>
        </w:rPr>
        <w:t>s public housing portfolio through the Rental Assistance Demonstration</w:t>
      </w:r>
      <w:r>
        <w:rPr>
          <w:rFonts w:cs="Arial"/>
        </w:rPr>
        <w:br/>
        <w:t>(RAD) program. Home Forward continues to own the units that are being converted through RAD, but</w:t>
      </w:r>
      <w:r>
        <w:rPr>
          <w:rFonts w:cs="Arial"/>
        </w:rPr>
        <w:br/>
        <w:t>they are considered project-based section 8 supported units instead of public housing. C</w:t>
      </w:r>
      <w:r>
        <w:rPr>
          <w:rFonts w:cs="Arial"/>
        </w:rPr>
        <w:t>onverting public</w:t>
      </w:r>
      <w:r>
        <w:rPr>
          <w:rFonts w:cs="Arial"/>
        </w:rPr>
        <w:br/>
        <w:t>housing through RAD has allowed for important and necessary rehabilitation to our public housing</w:t>
      </w:r>
      <w:r>
        <w:rPr>
          <w:rFonts w:cs="Arial"/>
        </w:rPr>
        <w:br/>
        <w:t>portfolio. All public housing units are scheduled for conversion by the end of 2024 utilizing a project-</w:t>
      </w:r>
      <w:r>
        <w:rPr>
          <w:rFonts w:cs="Arial"/>
        </w:rPr>
        <w:br/>
        <w:t>based Section 8 operating subsidy. Re</w:t>
      </w:r>
      <w:r>
        <w:rPr>
          <w:rFonts w:cs="Arial"/>
        </w:rPr>
        <w:t>nts for these properties are approximately 30% of a household’s</w:t>
      </w:r>
      <w:r>
        <w:rPr>
          <w:rFonts w:cs="Arial"/>
        </w:rPr>
        <w:br/>
        <w:t>monthly income. To qualify, applicant household income must be less than 80% of the median income</w:t>
      </w:r>
      <w:r>
        <w:rPr>
          <w:rFonts w:cs="Arial"/>
        </w:rPr>
        <w:br/>
        <w:t>for the Portland Metropolitan Area, however most public housing residents earn less than 30% o</w:t>
      </w:r>
      <w:r>
        <w:rPr>
          <w:rFonts w:cs="Arial"/>
        </w:rPr>
        <w:t>f the</w:t>
      </w:r>
      <w:r>
        <w:rPr>
          <w:rFonts w:cs="Arial"/>
        </w:rPr>
        <w:br/>
        <w:t>median income.</w:t>
      </w:r>
    </w:p>
    <w:p w:rsidR="00C472E3" w:rsidRDefault="003673FA">
      <w:pPr>
        <w:keepNext/>
        <w:widowControl w:val="0"/>
        <w:spacing w:beforeAutospacing="1" w:afterAutospacing="1"/>
        <w:rPr>
          <w:rFonts w:cs="Arial"/>
        </w:rPr>
      </w:pPr>
      <w:r>
        <w:rPr>
          <w:rFonts w:cs="Arial"/>
        </w:rPr>
        <w:t>The Portland Housing Bureau does not manage or own Public Housing. The Portland Housing Bureau</w:t>
      </w:r>
      <w:r>
        <w:rPr>
          <w:rFonts w:cs="Arial"/>
        </w:rPr>
        <w:br/>
        <w:t>makes resources for affordable housing available in competitive solicitations.</w:t>
      </w:r>
    </w:p>
    <w:p w:rsidR="00C472E3" w:rsidRDefault="003673FA">
      <w:pPr>
        <w:widowControl w:val="0"/>
        <w:rPr>
          <w:b/>
          <w:sz w:val="24"/>
          <w:szCs w:val="24"/>
        </w:rPr>
      </w:pPr>
      <w:r>
        <w:rPr>
          <w:b/>
          <w:sz w:val="24"/>
          <w:szCs w:val="24"/>
        </w:rPr>
        <w:t>Actions taken to encourage public housing residents to become</w:t>
      </w:r>
      <w:r>
        <w:rPr>
          <w:b/>
          <w:sz w:val="24"/>
          <w:szCs w:val="24"/>
        </w:rPr>
        <w:t xml:space="preserve"> more involved in management and participate in homeownership</w:t>
      </w:r>
    </w:p>
    <w:p w:rsidR="00C472E3" w:rsidRDefault="003673FA">
      <w:pPr>
        <w:widowControl w:val="0"/>
        <w:spacing w:beforeAutospacing="1" w:afterAutospacing="1"/>
        <w:rPr>
          <w:rFonts w:cs="Arial"/>
        </w:rPr>
      </w:pPr>
      <w:r>
        <w:rPr>
          <w:rFonts w:cs="Arial"/>
        </w:rPr>
        <w:t>Home Forward seeks resident advice and guidance via a process that allows them to have a voice in</w:t>
      </w:r>
      <w:r>
        <w:rPr>
          <w:rFonts w:cs="Arial"/>
        </w:rPr>
        <w:br/>
        <w:t>decisions affecting the agency’s various housing programs through its Resident Advisory Committe</w:t>
      </w:r>
      <w:r>
        <w:rPr>
          <w:rFonts w:cs="Arial"/>
        </w:rPr>
        <w:t>e</w:t>
      </w:r>
      <w:r>
        <w:rPr>
          <w:rFonts w:cs="Arial"/>
        </w:rPr>
        <w:br/>
        <w:t>(RAC). The RAC, comprised of 10-20 volunteers who either live in a Home Forward unit or participate in</w:t>
      </w:r>
      <w:r>
        <w:rPr>
          <w:rFonts w:cs="Arial"/>
        </w:rPr>
        <w:br/>
        <w:t>the Section 8 program, holds regular meetings. The results of their work are reported to Home</w:t>
      </w:r>
      <w:r>
        <w:rPr>
          <w:rFonts w:cs="Arial"/>
        </w:rPr>
        <w:br/>
        <w:t>Forward’s Board of Commissioners. Additionally, the RAC c</w:t>
      </w:r>
      <w:r>
        <w:rPr>
          <w:rFonts w:cs="Arial"/>
        </w:rPr>
        <w:t>ommittee chair also serves as the Resident</w:t>
      </w:r>
      <w:r>
        <w:rPr>
          <w:rFonts w:cs="Arial"/>
        </w:rPr>
        <w:br/>
        <w:t>Commissioner on the agency’s Board of Commissioners. In addition to the RAC, the agency routinely</w:t>
      </w:r>
      <w:r>
        <w:rPr>
          <w:rFonts w:cs="Arial"/>
        </w:rPr>
        <w:br/>
        <w:t>involves participants and residents on committees specific to a particular development or to policy</w:t>
      </w:r>
      <w:r>
        <w:rPr>
          <w:rFonts w:cs="Arial"/>
        </w:rPr>
        <w:br/>
        <w:t>issues. For exa</w:t>
      </w:r>
      <w:r>
        <w:rPr>
          <w:rFonts w:cs="Arial"/>
        </w:rPr>
        <w:t>mple, residents and participants served on the Rent Assistance Termination policy work</w:t>
      </w:r>
      <w:r>
        <w:rPr>
          <w:rFonts w:cs="Arial"/>
        </w:rPr>
        <w:br/>
        <w:t>group to develop policy recommendations to advance racial equity.</w:t>
      </w:r>
    </w:p>
    <w:p w:rsidR="00C472E3" w:rsidRDefault="003673FA">
      <w:pPr>
        <w:widowControl w:val="0"/>
        <w:spacing w:beforeAutospacing="1" w:afterAutospacing="1"/>
        <w:rPr>
          <w:rFonts w:cs="Arial"/>
        </w:rPr>
      </w:pPr>
      <w:r>
        <w:rPr>
          <w:rFonts w:cs="Arial"/>
        </w:rPr>
        <w:t>The GOALS (Greater Opportunities to Advance, Learn and Succeed) program provides Home Forward</w:t>
      </w:r>
      <w:r>
        <w:rPr>
          <w:rFonts w:cs="Arial"/>
        </w:rPr>
        <w:br/>
        <w:t>participa</w:t>
      </w:r>
      <w:r>
        <w:rPr>
          <w:rFonts w:cs="Arial"/>
        </w:rPr>
        <w:t>nts with ways to set and reach their goal of becoming self-sufficient through five years of</w:t>
      </w:r>
      <w:r>
        <w:rPr>
          <w:rFonts w:cs="Arial"/>
        </w:rPr>
        <w:br/>
        <w:t>dynamic supportive services. The GOALS program has helped many families with job training and</w:t>
      </w:r>
      <w:r>
        <w:rPr>
          <w:rFonts w:cs="Arial"/>
        </w:rPr>
        <w:br/>
        <w:t>referrals, getting a better job or promotion, childcare referrals, and</w:t>
      </w:r>
      <w:r>
        <w:rPr>
          <w:rFonts w:cs="Arial"/>
        </w:rPr>
        <w:t xml:space="preserve"> even owning a home. This program</w:t>
      </w:r>
    </w:p>
    <w:p w:rsidR="00C472E3" w:rsidRDefault="003673FA">
      <w:pPr>
        <w:widowControl w:val="0"/>
        <w:spacing w:beforeAutospacing="1" w:afterAutospacing="1"/>
        <w:rPr>
          <w:rFonts w:cs="Arial"/>
        </w:rPr>
      </w:pPr>
      <w:r>
        <w:rPr>
          <w:rFonts w:cs="Arial"/>
        </w:rPr>
        <w:t>offers a solid pathway for financial independence and self-sufficiency and features creative ways to help</w:t>
      </w:r>
      <w:r>
        <w:rPr>
          <w:rFonts w:cs="Arial"/>
        </w:rPr>
        <w:br/>
      </w:r>
      <w:r>
        <w:rPr>
          <w:rFonts w:cs="Arial"/>
        </w:rPr>
        <w:lastRenderedPageBreak/>
        <w:t>participants save money to achieve their long-term goals. Outside of the GOALS program the agency</w:t>
      </w:r>
      <w:r>
        <w:rPr>
          <w:rFonts w:cs="Arial"/>
        </w:rPr>
        <w:br/>
        <w:t>does not offer oth</w:t>
      </w:r>
      <w:r>
        <w:rPr>
          <w:rFonts w:cs="Arial"/>
        </w:rPr>
        <w:t>er homeownership programs.</w:t>
      </w:r>
    </w:p>
    <w:p w:rsidR="00C472E3" w:rsidRDefault="003673FA">
      <w:pPr>
        <w:widowControl w:val="0"/>
        <w:rPr>
          <w:b/>
          <w:sz w:val="24"/>
          <w:szCs w:val="24"/>
        </w:rPr>
      </w:pPr>
      <w:r>
        <w:rPr>
          <w:b/>
          <w:sz w:val="24"/>
          <w:szCs w:val="24"/>
        </w:rPr>
        <w:t>Actions taken to provide assistance to troubled PHAs</w:t>
      </w:r>
    </w:p>
    <w:p w:rsidR="00C472E3" w:rsidRDefault="003673FA">
      <w:pPr>
        <w:widowControl w:val="0"/>
        <w:spacing w:beforeAutospacing="1" w:afterAutospacing="1"/>
        <w:rPr>
          <w:rFonts w:cs="Arial"/>
        </w:rPr>
      </w:pPr>
      <w:r>
        <w:rPr>
          <w:rFonts w:cs="Arial"/>
        </w:rPr>
        <w:t>A troubled PHA is one that has a Public Housing Assessment System (PHAS) score of 59% or lower. Home Forward is not considered a troubled Public Housing Agency and is a high pe</w:t>
      </w:r>
      <w:r>
        <w:rPr>
          <w:rFonts w:cs="Arial"/>
        </w:rPr>
        <w:t>rforming PHA.</w:t>
      </w:r>
    </w:p>
    <w:p w:rsidR="00C472E3" w:rsidRDefault="003673FA">
      <w:pPr>
        <w:pStyle w:val="Heading2"/>
        <w:pageBreakBefore/>
        <w:widowControl w:val="0"/>
        <w:rPr>
          <w:rFonts w:ascii="Calibri" w:hAnsi="Calibri"/>
          <w:i w:val="0"/>
        </w:rPr>
      </w:pPr>
      <w:r>
        <w:rPr>
          <w:rFonts w:ascii="Calibri" w:hAnsi="Calibri"/>
          <w:i w:val="0"/>
        </w:rPr>
        <w:lastRenderedPageBreak/>
        <w:t>CR-35 - Other Actions 91.220(j)-(k); 91.320(i)-(j)</w:t>
      </w:r>
    </w:p>
    <w:p w:rsidR="00C472E3" w:rsidRDefault="003673FA">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w:t>
      </w:r>
      <w:r>
        <w:rPr>
          <w:b/>
          <w:sz w:val="24"/>
          <w:szCs w:val="24"/>
        </w:rPr>
        <w:t>ances, building codes, fees and charges, growth limitations, and policies affecting the return on residential investment. 91.220 (j); 91.320 (i)</w:t>
      </w:r>
    </w:p>
    <w:p w:rsidR="00C472E3" w:rsidRDefault="003673FA">
      <w:pPr>
        <w:widowControl w:val="0"/>
        <w:spacing w:beforeAutospacing="1" w:afterAutospacing="1"/>
        <w:rPr>
          <w:rFonts w:cs="Arial"/>
        </w:rPr>
      </w:pPr>
      <w:r>
        <w:rPr>
          <w:rFonts w:cs="Arial"/>
        </w:rPr>
        <w:t>The State of Oregon requires that all city and county jurisdictions complete a local comprehensive plan to ensu</w:t>
      </w:r>
      <w:r>
        <w:rPr>
          <w:rFonts w:cs="Arial"/>
        </w:rPr>
        <w:t>re their policies and practices reflect Oregon’s statewide Land Use goals.  State law requires each city and county to adopt a comprehensive plan and the zoning and land-division ordinances needed to put the plan into effect.  Zoning ordinances, fees and c</w:t>
      </w:r>
      <w:r>
        <w:rPr>
          <w:rFonts w:cs="Arial"/>
        </w:rPr>
        <w:t>harges, tax policies, growth boundaries, and investment policies are included in each jurisdiction's comprehensive plan. The state evaluates and approves all comprehensive plans to ensure that there are no regulatory barriers to affordable housing developm</w:t>
      </w:r>
      <w:r>
        <w:rPr>
          <w:rFonts w:cs="Arial"/>
        </w:rPr>
        <w:t xml:space="preserve">ent. </w:t>
      </w:r>
      <w:r>
        <w:rPr>
          <w:rFonts w:cs="Arial"/>
        </w:rPr>
        <w:br/>
        <w:t xml:space="preserve">     </w:t>
      </w:r>
      <w:r>
        <w:rPr>
          <w:rFonts w:cs="Arial"/>
        </w:rPr>
        <w:br/>
        <w:t xml:space="preserve">  The Multnomah County CDBG Consortium also works with our regional government agency, Metro, to ensure the production of affordable housing throughout the Portland metropolitan area.  Metro provides region-wide (Multnomah, Clackamas, and Washi</w:t>
      </w:r>
      <w:r>
        <w:rPr>
          <w:rFonts w:cs="Arial"/>
        </w:rPr>
        <w:t>ngton counties) planning and coordination to management growth, infrastructure, and development issues that cross-jurisdictional boundaries.</w:t>
      </w:r>
    </w:p>
    <w:p w:rsidR="00C472E3" w:rsidRDefault="003673FA">
      <w:pPr>
        <w:widowControl w:val="0"/>
        <w:rPr>
          <w:b/>
          <w:sz w:val="24"/>
          <w:szCs w:val="24"/>
        </w:rPr>
      </w:pPr>
      <w:r>
        <w:rPr>
          <w:b/>
          <w:sz w:val="24"/>
          <w:szCs w:val="24"/>
        </w:rPr>
        <w:t>Actions taken to address obstacles to meeting underserved needs.  91.220(k); 91.320(j)</w:t>
      </w:r>
    </w:p>
    <w:p w:rsidR="00C472E3" w:rsidRDefault="003673FA">
      <w:pPr>
        <w:widowControl w:val="0"/>
        <w:spacing w:beforeAutospacing="1" w:afterAutospacing="1"/>
        <w:rPr>
          <w:rFonts w:cs="Arial"/>
        </w:rPr>
      </w:pPr>
      <w:r>
        <w:rPr>
          <w:rFonts w:cs="Arial"/>
        </w:rPr>
        <w:t>Multnomah County CDBG Consor</w:t>
      </w:r>
      <w:r>
        <w:rPr>
          <w:rFonts w:cs="Arial"/>
        </w:rPr>
        <w:t>tium works with regional partners, including WorkSystems, Inc., to ensure that economic development and workforce initiatives extend to residents of East County.  The importance of developing and maintaining viable urban communities has been acknowledged o</w:t>
      </w:r>
      <w:r>
        <w:rPr>
          <w:rFonts w:cs="Arial"/>
        </w:rPr>
        <w:t>n national, regional, and local levels.  Investment in maintaining, restoring, and revitalizing local neighborhoods helps to create a sense of place and pride in community, promotes economic development and reduces crime.</w:t>
      </w:r>
    </w:p>
    <w:p w:rsidR="00C472E3" w:rsidRDefault="003673FA">
      <w:pPr>
        <w:widowControl w:val="0"/>
        <w:rPr>
          <w:b/>
          <w:sz w:val="24"/>
          <w:szCs w:val="24"/>
        </w:rPr>
      </w:pPr>
      <w:r>
        <w:rPr>
          <w:b/>
          <w:sz w:val="24"/>
          <w:szCs w:val="24"/>
        </w:rPr>
        <w:t>Actions taken to reduce lead-based</w:t>
      </w:r>
      <w:r>
        <w:rPr>
          <w:b/>
          <w:sz w:val="24"/>
          <w:szCs w:val="24"/>
        </w:rPr>
        <w:t xml:space="preserve"> paint hazards. 91.220(k); 91.320(j)</w:t>
      </w:r>
    </w:p>
    <w:p w:rsidR="00C472E3" w:rsidRDefault="003673FA">
      <w:pPr>
        <w:widowControl w:val="0"/>
        <w:spacing w:beforeAutospacing="1" w:afterAutospacing="1"/>
        <w:rPr>
          <w:rFonts w:cs="Arial"/>
        </w:rPr>
      </w:pPr>
      <w:r>
        <w:rPr>
          <w:rFonts w:cs="Arial"/>
        </w:rPr>
        <w:t>The Multnomah County CDBG program is in compliance with requirements of the Residential Lead-Based Paint Reduction Act. None of the programs or projects currently funded by Multnomah County provides in excess of $5,000 in rehabilitation assistance per resi</w:t>
      </w:r>
      <w:r>
        <w:rPr>
          <w:rFonts w:cs="Arial"/>
        </w:rPr>
        <w:t>dence. </w:t>
      </w:r>
    </w:p>
    <w:p w:rsidR="00C472E3" w:rsidRDefault="003673FA">
      <w:pPr>
        <w:widowControl w:val="0"/>
        <w:spacing w:beforeAutospacing="1" w:afterAutospacing="1"/>
        <w:rPr>
          <w:rFonts w:cs="Arial"/>
        </w:rPr>
      </w:pPr>
      <w:r>
        <w:rPr>
          <w:rFonts w:cs="Arial"/>
        </w:rPr>
        <w:t>Community Development Block Grant (CDBG-CV) Emergency Payments for Rental Assistance in Coronavirus Responses follows the Lead Safe Housing Rule (LSHR) requirements. These requirements apply to CDBG-funded rental assistance payments for pre-1978 un</w:t>
      </w:r>
      <w:r>
        <w:rPr>
          <w:rFonts w:cs="Arial"/>
        </w:rPr>
        <w:t>its where children under age six or pregnant women reside. The requirements of (visual assessment, paint stabilization, and maintenance) do not apply for emergency rental assistance limited to 100 days. The 100-day emergency grace period starts at the time</w:t>
      </w:r>
      <w:r>
        <w:rPr>
          <w:rFonts w:cs="Arial"/>
        </w:rPr>
        <w:t xml:space="preserve"> of the first payment. If the emergency assistance period is expected to exceed 100 days, a visual lead-based paint inspection is required.</w:t>
      </w:r>
    </w:p>
    <w:p w:rsidR="00C472E3" w:rsidRDefault="003673FA">
      <w:pPr>
        <w:widowControl w:val="0"/>
        <w:spacing w:beforeAutospacing="1" w:afterAutospacing="1"/>
        <w:rPr>
          <w:rFonts w:cs="Arial"/>
        </w:rPr>
      </w:pPr>
      <w:r>
        <w:rPr>
          <w:rFonts w:cs="Arial"/>
        </w:rPr>
        <w:lastRenderedPageBreak/>
        <w:t>Multnomah County complies with federal regulations and continues to work towards increasing small Lead Based Paint c</w:t>
      </w:r>
      <w:r>
        <w:rPr>
          <w:rFonts w:cs="Arial"/>
        </w:rPr>
        <w:t>ontractors by building their capacity through education and safe work practices. The City of Portland has successfully administered three HUD Lead Hazard Reduction Grants, providing $17 million dollars in lead hazard reductions assistant to over 1,800 low-</w:t>
      </w:r>
      <w:r>
        <w:rPr>
          <w:rFonts w:cs="Arial"/>
        </w:rPr>
        <w:t>income households (protecting over 3,000 children from lead poisoning) since 1998.</w:t>
      </w:r>
    </w:p>
    <w:p w:rsidR="00C472E3" w:rsidRDefault="003673FA">
      <w:pPr>
        <w:widowControl w:val="0"/>
        <w:rPr>
          <w:b/>
          <w:sz w:val="24"/>
          <w:szCs w:val="24"/>
        </w:rPr>
      </w:pPr>
      <w:r>
        <w:rPr>
          <w:b/>
          <w:sz w:val="24"/>
          <w:szCs w:val="24"/>
        </w:rPr>
        <w:t>Actions taken to reduce the number of poverty-level families. 91.220(k); 91.320(j)</w:t>
      </w:r>
    </w:p>
    <w:p w:rsidR="00C472E3" w:rsidRDefault="003673FA">
      <w:pPr>
        <w:widowControl w:val="0"/>
        <w:spacing w:beforeAutospacing="1" w:afterAutospacing="1"/>
        <w:rPr>
          <w:rFonts w:cs="Arial"/>
        </w:rPr>
      </w:pPr>
      <w:r>
        <w:rPr>
          <w:rFonts w:cs="Arial"/>
          <w:b/>
        </w:rPr>
        <w:t> </w:t>
      </w:r>
    </w:p>
    <w:p w:rsidR="00C472E3" w:rsidRDefault="003673FA">
      <w:pPr>
        <w:widowControl w:val="0"/>
        <w:spacing w:beforeAutospacing="1" w:afterAutospacing="1"/>
        <w:rPr>
          <w:rFonts w:cs="Arial"/>
        </w:rPr>
      </w:pPr>
      <w:r>
        <w:rPr>
          <w:rFonts w:cs="Arial"/>
        </w:rPr>
        <w:t>The cities of Troutdale, Wood Village, Fairview, and Maywood Park have all experienced significant population growth since 2000.  Portland’s gentrification over the past decade has displaced thousands of low-income households to East County [See Attachment</w:t>
      </w:r>
      <w:r>
        <w:rPr>
          <w:rFonts w:cs="Arial"/>
        </w:rPr>
        <w:t xml:space="preserve"> C].  This is reflected in the growing number of East County residents who are experiencing poverty.  Poverty rates for two of the Multnomah County CDBG Consortium jurisdictions exceed the countywide average of 17% poverty rate – Wood Village (32%) and Fai</w:t>
      </w:r>
      <w:r>
        <w:rPr>
          <w:rFonts w:cs="Arial"/>
        </w:rPr>
        <w:t>rview (18%).  Troutdale (15%) and Maywood Park (8%) have poverty rates below the average.  Multnomah County partners with WorkSystems, Inc. to provide employment supports for individuals and families.  The SUN Service system also offers social services, ca</w:t>
      </w:r>
      <w:r>
        <w:rPr>
          <w:rFonts w:cs="Arial"/>
        </w:rPr>
        <w:t>se management, and employment supports to prevent homelessness and assist households that are homeless.  </w:t>
      </w:r>
    </w:p>
    <w:p w:rsidR="00C472E3" w:rsidRDefault="003673FA">
      <w:pPr>
        <w:widowControl w:val="0"/>
        <w:rPr>
          <w:b/>
          <w:sz w:val="24"/>
          <w:szCs w:val="24"/>
        </w:rPr>
      </w:pPr>
      <w:r>
        <w:rPr>
          <w:b/>
          <w:sz w:val="24"/>
          <w:szCs w:val="24"/>
        </w:rPr>
        <w:t>Actions taken to develop institutional structure. 91.220(k); 91.320(j)</w:t>
      </w:r>
    </w:p>
    <w:p w:rsidR="00C472E3" w:rsidRDefault="003673FA">
      <w:pPr>
        <w:widowControl w:val="0"/>
        <w:spacing w:beforeAutospacing="1" w:afterAutospacing="1"/>
        <w:rPr>
          <w:rFonts w:cs="Arial"/>
        </w:rPr>
      </w:pPr>
      <w:r>
        <w:rPr>
          <w:rFonts w:cs="Arial"/>
          <w:b/>
        </w:rPr>
        <w:t> </w:t>
      </w:r>
    </w:p>
    <w:p w:rsidR="00C472E3" w:rsidRDefault="003673FA">
      <w:pPr>
        <w:widowControl w:val="0"/>
        <w:spacing w:beforeAutospacing="1" w:afterAutospacing="1"/>
        <w:rPr>
          <w:rFonts w:cs="Arial"/>
        </w:rPr>
      </w:pPr>
      <w:r>
        <w:rPr>
          <w:rFonts w:cs="Arial"/>
        </w:rPr>
        <w:t>Multnomah County’s CDBG Consortium works to provide services to the residents</w:t>
      </w:r>
      <w:r>
        <w:rPr>
          <w:rFonts w:cs="Arial"/>
        </w:rPr>
        <w:t xml:space="preserve"> of East County.  Multnomah has also developed and manages the SUN Service System which provides comprehensive housing, social services, and educational supports to low-income families throughout the county.  The SUN Service System contracts with non-profi</w:t>
      </w:r>
      <w:r>
        <w:rPr>
          <w:rFonts w:cs="Arial"/>
        </w:rPr>
        <w:t>t agencies to provide housing and social services supports for children, youth, and families to ensure educational success. Two of Multnomah County’s CDBG provider agencies are also SUN providers – Human Solutions, Inc. and El Programa Hispano Catolico.  T</w:t>
      </w:r>
      <w:r>
        <w:rPr>
          <w:rFonts w:cs="Arial"/>
        </w:rPr>
        <w:t xml:space="preserve">he SUN Service System is funded through a combination of the county general fund, Community Services Block Grant (CSBG), City of Portland general fund, private foundation funds, and other state/federal grants.  Finally, Multnomah County uses the HMIS data </w:t>
      </w:r>
      <w:r>
        <w:rPr>
          <w:rFonts w:cs="Arial"/>
        </w:rPr>
        <w:t>system to collect and analyze information related to services and supports offered through its SUN Services System.</w:t>
      </w:r>
    </w:p>
    <w:p w:rsidR="00C472E3" w:rsidRDefault="003673FA">
      <w:pPr>
        <w:widowControl w:val="0"/>
        <w:rPr>
          <w:b/>
          <w:sz w:val="24"/>
          <w:szCs w:val="24"/>
        </w:rPr>
      </w:pPr>
      <w:r>
        <w:rPr>
          <w:b/>
          <w:sz w:val="24"/>
          <w:szCs w:val="24"/>
        </w:rPr>
        <w:t>Actions taken to enhance coordination between public and private housing and social service agencies. 91.220(k); 91.320(j)</w:t>
      </w:r>
    </w:p>
    <w:p w:rsidR="00C472E3" w:rsidRDefault="003673FA">
      <w:pPr>
        <w:widowControl w:val="0"/>
        <w:spacing w:beforeAutospacing="1" w:afterAutospacing="1"/>
        <w:rPr>
          <w:rFonts w:cs="Arial"/>
        </w:rPr>
      </w:pPr>
      <w:r>
        <w:rPr>
          <w:rFonts w:cs="Arial"/>
        </w:rPr>
        <w:t xml:space="preserve">Multnomah County </w:t>
      </w:r>
      <w:r>
        <w:rPr>
          <w:rFonts w:cs="Arial"/>
        </w:rPr>
        <w:t>is an active member of the Continuum of Care (CoC), A Home for Everyone, and contributes both staff and funding resources to the CoC. The county also supports the participation of community members and providers in CoC planning initiatives. In addition, th</w:t>
      </w:r>
      <w:r>
        <w:rPr>
          <w:rFonts w:cs="Arial"/>
        </w:rPr>
        <w:t xml:space="preserve">e SUN Service System and its component program, Multnomah Stability Initiative (MSI), provide services to low-income families in </w:t>
      </w:r>
      <w:r>
        <w:rPr>
          <w:rFonts w:cs="Arial"/>
        </w:rPr>
        <w:lastRenderedPageBreak/>
        <w:t>nearly all the county’s school districts.  The SUN Service System model is based on building collaborations between school dist</w:t>
      </w:r>
      <w:r>
        <w:rPr>
          <w:rFonts w:cs="Arial"/>
        </w:rPr>
        <w:t>ricts and non-profit providers to ensure educational success for low-income children and youth and family stability. MSI provides support to families and households to achieve and maintain stability, using Assertive Engagement and trauma informed practices</w:t>
      </w:r>
      <w:r>
        <w:rPr>
          <w:rFonts w:cs="Arial"/>
        </w:rPr>
        <w:t xml:space="preserve"> and client assistance resources. Rent assistance is provided through aligned resources administered by Home Forward and the Short Term Rent Assistance network. Multnomah County and the City of Gresham have both been instrumental in sponsoring the work of </w:t>
      </w:r>
      <w:r>
        <w:rPr>
          <w:rFonts w:cs="Arial"/>
        </w:rPr>
        <w:t xml:space="preserve">the East County Issue Forum, which is a community-wide initiative that links, coordinates, and advocates for housing and social services supports for the low- and moderate-income residents of East County. Three East County school districts are involved in </w:t>
      </w:r>
      <w:r>
        <w:rPr>
          <w:rFonts w:cs="Arial"/>
        </w:rPr>
        <w:t>the effort – Reynolds, Gresham-Barlow, and Centennial.</w:t>
      </w:r>
      <w:r>
        <w:rPr>
          <w:rFonts w:cs="Arial"/>
          <w:b/>
        </w:rPr>
        <w:t xml:space="preserve"> </w:t>
      </w:r>
    </w:p>
    <w:p w:rsidR="00C472E3" w:rsidRDefault="003673FA">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C472E3" w:rsidRDefault="003673FA">
      <w:pPr>
        <w:widowControl w:val="0"/>
        <w:spacing w:beforeAutospacing="1" w:afterAutospacing="1"/>
        <w:rPr>
          <w:rFonts w:cs="Arial"/>
        </w:rPr>
      </w:pPr>
      <w:r>
        <w:rPr>
          <w:rFonts w:cs="Arial"/>
        </w:rPr>
        <w:t xml:space="preserve">Multnomah County staff participated on the </w:t>
      </w:r>
      <w:r>
        <w:rPr>
          <w:rFonts w:cs="Arial"/>
        </w:rPr>
        <w:t>Fair Housing Advocacy Committee convened by City of Portland Housing Bureau. Staff were also active in the Regional Fair Housing meetings.</w:t>
      </w:r>
    </w:p>
    <w:p w:rsidR="00C472E3" w:rsidRDefault="003673FA">
      <w:pPr>
        <w:widowControl w:val="0"/>
        <w:spacing w:beforeAutospacing="1" w:afterAutospacing="1"/>
        <w:rPr>
          <w:rFonts w:cs="Arial"/>
        </w:rPr>
      </w:pPr>
      <w:r>
        <w:rPr>
          <w:rFonts w:cs="Arial"/>
        </w:rPr>
        <w:t>In response to impediments specifically for renters, Multnomah County undertook a Renter Relations Project in 2018-19</w:t>
      </w:r>
      <w:r>
        <w:rPr>
          <w:rFonts w:cs="Arial"/>
        </w:rPr>
        <w:t xml:space="preserve"> to establish and inform its role in the local housing crisis. The Project took an in-depth look at how the current housing crisis has been shaped by Oregon’s exclusionary housing laws and systematic barriers, such as socioeconomic disparities and gentrifi</w:t>
      </w:r>
      <w:r>
        <w:rPr>
          <w:rFonts w:cs="Arial"/>
        </w:rPr>
        <w:t>cation. The focus was to explore the impacts of homelessness, discrimination, and no-cause evictions on BIPOC communities and offer recommendations to improve the experience of renters within those communities.  The project included several phases includin</w:t>
      </w:r>
      <w:r>
        <w:rPr>
          <w:rFonts w:cs="Arial"/>
        </w:rPr>
        <w:t>g a multi-tiered discovery and research process including:   * Initial data and information gathering about housing, income and the racial wealth gap * Observation of current climate and processes for outreach and program development  *Catalogue of current</w:t>
      </w:r>
      <w:r>
        <w:rPr>
          <w:rFonts w:cs="Arial"/>
        </w:rPr>
        <w:t xml:space="preserve"> renter relationships and protections in the County  * Community Advisory Sessions * Renter Relations Survey  * Research into promising and effective programs and models. In December 2019, the Renter Relations Project report was completed. The report share</w:t>
      </w:r>
      <w:r>
        <w:rPr>
          <w:rFonts w:cs="Arial"/>
        </w:rPr>
        <w:t>d findings that helped better understand the experience of renters in the County and impediments to their stability, and offered recommendations for actions and programs to address these impediments. A number of the report’s recommendations have been imple</w:t>
      </w:r>
      <w:r>
        <w:rPr>
          <w:rFonts w:cs="Arial"/>
        </w:rPr>
        <w:t>mented in response to the eviction crisis precipitated by COVID-19. In addition, the County identified ARPA funding to implement a peer support program for tenants in 2022-23.</w:t>
      </w:r>
    </w:p>
    <w:p w:rsidR="00C472E3" w:rsidRDefault="003673FA">
      <w:pPr>
        <w:pStyle w:val="Heading2"/>
        <w:pageBreakBefore/>
        <w:widowControl w:val="0"/>
        <w:rPr>
          <w:rFonts w:ascii="Calibri" w:hAnsi="Calibri"/>
          <w:i w:val="0"/>
        </w:rPr>
      </w:pPr>
      <w:r>
        <w:rPr>
          <w:rFonts w:ascii="Calibri" w:hAnsi="Calibri"/>
          <w:i w:val="0"/>
        </w:rPr>
        <w:lastRenderedPageBreak/>
        <w:t>CR-40 - Monitoring 91.220 and 91.230</w:t>
      </w:r>
    </w:p>
    <w:p w:rsidR="00C472E3" w:rsidRDefault="003673FA">
      <w:pPr>
        <w:widowControl w:val="0"/>
        <w:rPr>
          <w:b/>
          <w:sz w:val="24"/>
          <w:szCs w:val="24"/>
        </w:rPr>
      </w:pPr>
      <w:r>
        <w:rPr>
          <w:b/>
          <w:sz w:val="24"/>
          <w:szCs w:val="24"/>
        </w:rPr>
        <w:t xml:space="preserve">Describe the standards and procedures used </w:t>
      </w:r>
      <w:r>
        <w:rPr>
          <w:b/>
          <w:sz w:val="24"/>
          <w:szCs w:val="24"/>
        </w:rPr>
        <w:t>to monitor activities carried out in furtherance of the plan and used to ensure long-term compliance with requirements of the programs involved, including minority business outreach and the comprehensive planning requirements</w:t>
      </w:r>
    </w:p>
    <w:p w:rsidR="00C472E3" w:rsidRDefault="003673FA">
      <w:pPr>
        <w:widowControl w:val="0"/>
        <w:spacing w:beforeAutospacing="1" w:afterAutospacing="1"/>
        <w:rPr>
          <w:rFonts w:cs="Arial"/>
        </w:rPr>
      </w:pPr>
      <w:r>
        <w:rPr>
          <w:rFonts w:cs="Arial"/>
        </w:rPr>
        <w:t>&lt;p dir="ltr"&gt;&lt;span&gt;This year M</w:t>
      </w:r>
      <w:r>
        <w:rPr>
          <w:rFonts w:cs="Arial"/>
        </w:rPr>
        <w:t>ultnomah County resumed in person program monitoring in March and April and completed all inspections by the due date of June 30, 2023. Monitoring of CDBG funded projects that include Public Services and Housing Rehabilitation involves on-site contacts, te</w:t>
      </w:r>
      <w:r>
        <w:rPr>
          <w:rFonts w:cs="Arial"/>
        </w:rPr>
        <w:t xml:space="preserve">lephone, and e-mail using checklists and other tools to ensure compliance of federal requirements. Contracts, which outline requirements, are signed and in place before work begins.  Technical assistance regarding federal regulation is offered as projects </w:t>
      </w:r>
      <w:r>
        <w:rPr>
          <w:rFonts w:cs="Arial"/>
        </w:rPr>
        <w:t>begin and are conducted throughout the year. Originals of all monitoring files and correspondence are on file in the Youth &amp; Family Services Division Office. Monitoring is scheduled when approximately 50 percent of the grant was drawn down by the recipient</w:t>
      </w:r>
      <w:r>
        <w:rPr>
          <w:rFonts w:cs="Arial"/>
        </w:rPr>
        <w:t xml:space="preserve">. Typically every 3 years Multnomah County would conduct a more in-depth monitoring for subrecipients that are high risk but due to the pandemic in 2019 all subrecipients had not had in depth monitoring. For that reason in PY2022 all sub recipients had in </w:t>
      </w:r>
      <w:r>
        <w:rPr>
          <w:rFonts w:cs="Arial"/>
        </w:rPr>
        <w:t>person monitoring.  Sub recipients must maintain files and records that relate to the overall administration of the CDBG program. Project file review determines that invoices and documentation are in place.  These records will include the following files:&lt;</w:t>
      </w:r>
      <w:r>
        <w:rPr>
          <w:rFonts w:cs="Arial"/>
        </w:rPr>
        <w:t>/span&gt;&lt;/p&gt;&lt;p dir="ltr"&gt;&lt;span&gt;Application, program descriptions, certifications, etc.;&lt;/span&gt;&lt;/p&gt;&lt;p dir="ltr"&gt;&lt;span&gt;Invoices;&lt;/span&gt;&lt;/p&gt;&lt;p dir="ltr"&gt;&lt;span&gt;Client intake forms; &lt;/span&gt;&lt;/p&gt;&lt;p dir="ltr"&gt;&lt;span&gt;Client Income verification reviews; &lt;/span&gt;&lt;/p&gt;&lt;p d</w:t>
      </w:r>
      <w:r>
        <w:rPr>
          <w:rFonts w:cs="Arial"/>
        </w:rPr>
        <w:t>ir="ltr"&gt;&lt;span&gt;Executed grant agreement;&lt;/span&gt;&lt;/p&gt;&lt;p dir="ltr"&gt;&lt;span&gt;Description, geographic location and budget of each funded activity;&lt;/span&gt;&lt;/p&gt;&lt;p dir="ltr"&gt;&lt;span&gt;Eligibility and national objective determinations for each activity;&lt;/span&gt;&lt;/p&gt;&lt;p dir="l</w:t>
      </w:r>
      <w:r>
        <w:rPr>
          <w:rFonts w:cs="Arial"/>
        </w:rPr>
        <w:t>tr"&gt;&lt;span&gt;Personnel files;&lt;/span&gt;&lt;/p&gt;&lt;p dir="ltr"&gt;&lt;span&gt;Organization Chart; &lt;/span&gt;&lt;/p&gt;&lt;p dir="ltr"&gt;&lt;span&gt;Property management files;&lt;/span&gt;&lt;/p&gt;&lt;p dir="ltr"&gt;&lt;span&gt;HUD and Multnomah County monitoring correspondence;&lt;/span&gt;&lt;/p&gt;&lt;p dir="ltr"&gt;&lt;span&gt;Citizen parti</w:t>
      </w:r>
      <w:r>
        <w:rPr>
          <w:rFonts w:cs="Arial"/>
        </w:rPr>
        <w:t>cipation compliance documentation;&lt;/span&gt;&lt;/p&gt;&lt;p dir="ltr"&gt;&lt;span&gt;Fair Housing and Equal Opportunity records;&lt;/span&gt;&lt;/p&gt;&lt;p dir="ltr"&gt;&lt;span&gt;Environmental review records; and&lt;/span&gt;&lt;/p&gt;&lt;p dir="ltr"&gt;&lt;span&gt;Documentation of compliance with other Federal requireme</w:t>
      </w:r>
      <w:r>
        <w:rPr>
          <w:rFonts w:cs="Arial"/>
        </w:rPr>
        <w:t>nts (e.g., Davis-Bacon, Sam.Gov and Lead-Based Paint HUD certifications).&lt;/span&gt;&lt;/p&gt;&lt;p dir="ltr"&gt;&lt;span&gt; &lt;/span&gt;&lt;/p&gt;&lt;p dir="ltr"&gt;&lt;span&gt;Multnomah County monitored all of its CDBG projects where any findings and concerns were found to be minimal. A report whi</w:t>
      </w:r>
      <w:r>
        <w:rPr>
          <w:rFonts w:cs="Arial"/>
        </w:rPr>
        <w:t>ch summarizes the results of the monitoring visit and any corrective actions if deemed necessary was shared with the subgrantees within 30 days of the monitoring visit. And any findings and concerns were fully addressed by the applicable subgrantees as rec</w:t>
      </w:r>
      <w:r>
        <w:rPr>
          <w:rFonts w:cs="Arial"/>
        </w:rPr>
        <w:t>orded in the findings closing letter. Quarterly reporting is mandatory for all ongoing projects to determine that projects are on schedule and in compliance. &lt;/span&gt;&lt;/p&gt;&lt;p dir="ltr"&gt;&lt;span&gt;Public Facilities project monitoring, when conducted, includes compl</w:t>
      </w:r>
      <w:r>
        <w:rPr>
          <w:rFonts w:cs="Arial"/>
        </w:rPr>
        <w:t xml:space="preserve">etion of environmental review before work begins.  Subcontractors are informed and made familiar with the grant regulations including Federal and State Labor Standards, Davis-Bacon regulations, payroll submission, and timeliness of </w:t>
      </w:r>
      <w:r>
        <w:rPr>
          <w:rFonts w:cs="Arial"/>
        </w:rPr>
        <w:lastRenderedPageBreak/>
        <w:t>project completion at pr</w:t>
      </w:r>
      <w:r>
        <w:rPr>
          <w:rFonts w:cs="Arial"/>
        </w:rPr>
        <w:t>e construction meetings.  All payrolls from construction employees are submitted, reviewed under state labor wage standards and approved before payment is authorized.  When possible, site visits are made as work is in process and upon completion of project</w:t>
      </w:r>
      <w:r>
        <w:rPr>
          <w:rFonts w:cs="Arial"/>
        </w:rPr>
        <w:t>s.  Projects are also reviewed for contract procurements standards soliciting M/WBE bids and bidding publication.&lt;/span&gt;&lt;/p&gt;</w:t>
      </w:r>
    </w:p>
    <w:p w:rsidR="00C472E3" w:rsidRDefault="00C472E3">
      <w:pPr>
        <w:widowControl w:val="0"/>
        <w:rPr>
          <w:rFonts w:cs="Arial"/>
        </w:rPr>
      </w:pPr>
    </w:p>
    <w:p w:rsidR="00C472E3" w:rsidRDefault="00C472E3">
      <w:pPr>
        <w:widowControl w:val="0"/>
        <w:rPr>
          <w:rFonts w:cs="Arial"/>
        </w:rPr>
      </w:pPr>
    </w:p>
    <w:p w:rsidR="00C472E3" w:rsidRDefault="00C472E3">
      <w:pPr>
        <w:widowControl w:val="0"/>
        <w:rPr>
          <w:rFonts w:cs="Arial"/>
        </w:rPr>
      </w:pPr>
    </w:p>
    <w:p w:rsidR="00C472E3" w:rsidRDefault="003673FA">
      <w:pPr>
        <w:widowControl w:val="0"/>
        <w:rPr>
          <w:b/>
          <w:sz w:val="24"/>
          <w:szCs w:val="24"/>
        </w:rPr>
      </w:pPr>
      <w:r>
        <w:rPr>
          <w:b/>
          <w:sz w:val="24"/>
          <w:szCs w:val="24"/>
        </w:rPr>
        <w:t>Citizen Participation Plan 91.105(d); 91.115(d)</w:t>
      </w:r>
    </w:p>
    <w:p w:rsidR="00C472E3" w:rsidRDefault="003673FA">
      <w:pPr>
        <w:widowControl w:val="0"/>
        <w:rPr>
          <w:sz w:val="24"/>
          <w:szCs w:val="24"/>
        </w:rPr>
      </w:pPr>
      <w:r>
        <w:rPr>
          <w:b/>
          <w:sz w:val="24"/>
          <w:szCs w:val="24"/>
        </w:rPr>
        <w:t>Describe the efforts to provide citizens with reasonable notice and an opportuni</w:t>
      </w:r>
      <w:r>
        <w:rPr>
          <w:b/>
          <w:sz w:val="24"/>
          <w:szCs w:val="24"/>
        </w:rPr>
        <w:t>ty to comment on performance reports</w:t>
      </w:r>
      <w:r>
        <w:rPr>
          <w:sz w:val="24"/>
          <w:szCs w:val="24"/>
        </w:rPr>
        <w:t>.</w:t>
      </w:r>
    </w:p>
    <w:p w:rsidR="00C472E3" w:rsidRDefault="003673FA">
      <w:pPr>
        <w:spacing w:beforeAutospacing="1" w:afterAutospacing="1"/>
      </w:pPr>
      <w:r>
        <w:t>The Citizen Participation Plan included in the 5-Year Consolidated Plan is the framework we use to solicit public comment, as well as to provide guidance on our response to citizens’ comments on our programs throughout</w:t>
      </w:r>
      <w:r>
        <w:t xml:space="preserve"> the year. This includes two hearings: one coordinated by Multnomah County and the City of Gresham for areas outside the City of Portland (our entitlement area) and one convened by the City of Portland. Due to the Covid-19 public health crisis, these heari</w:t>
      </w:r>
      <w:r>
        <w:t>ngs were held remotely via Zoom in 2022 but will resume to in person this Fall 2023.  Multnomah County is committed to providing meaningful access. The public was able to request childcare, translation, interpretation, modifications, accommodations, or oth</w:t>
      </w:r>
      <w:r>
        <w:t>er auxiliary aids or services, by calling or by sending an email to the CDBG coordinator three days prior to the meeting. CDBG staff speak Spanish and have access to interpretation services in over 100 languages for hearings. </w:t>
      </w:r>
    </w:p>
    <w:p w:rsidR="00C472E3" w:rsidRDefault="003673FA">
      <w:pPr>
        <w:spacing w:beforeAutospacing="1" w:afterAutospacing="1"/>
      </w:pPr>
      <w:r>
        <w:t xml:space="preserve">The goals and purpose of the </w:t>
      </w:r>
      <w:r>
        <w:t>Citizen Participation Plan is to encourage residents, agencies, and other interested parties to participate in the development of our 5-Year Consolidated Plan and Annual Action Plans and to comment on our accomplishments. We encourage feedback from our cit</w:t>
      </w:r>
      <w:r>
        <w:t>izens in order to improve our efforts to provide decent, safe and sanitary housing, improved community facilities and infrastructure, needed human services and expanded economic opportunities, that all work toward revitalizing our neighborhoods and improvi</w:t>
      </w:r>
      <w:r>
        <w:t>ng our living environment.</w:t>
      </w:r>
    </w:p>
    <w:p w:rsidR="00C472E3" w:rsidRDefault="003673FA">
      <w:pPr>
        <w:spacing w:beforeAutospacing="1" w:afterAutospacing="1"/>
      </w:pPr>
      <w:r>
        <w:t xml:space="preserve">Multnomah County prepared the CAPER for the program year from July 1, 2022 through June 30, 2023. The CAPER includes attached CDBG reports generated by HUD’s Integrated Disbursement and Information System (IDIS). Public comments </w:t>
      </w:r>
      <w:r>
        <w:t>regarding Multnomah County’s PY2022 CAPER were received through written submissions in response to posting of the opportunity for public comment. The draft  Program Year 2022 CAPER required 15 day comment period was held from October 11  through October 26</w:t>
      </w:r>
      <w:r>
        <w:t>, 2023. The notice was made available to the public through  the Multnomah County’s DCHS' Youth &amp; Family Services Division website (https://www.multco.us/cdbg) and the Gresham Outlook on October 11th, 2023. The Multnomah County website translates into over</w:t>
      </w:r>
      <w:r>
        <w:t xml:space="preserve"> 80 languages including the </w:t>
      </w:r>
      <w:r>
        <w:lastRenderedPageBreak/>
        <w:t>most common languages spoken in the county: Spanish, Russian, Vietnamese, Chinese, Arabic, Somali. The website also includes the County’s Notice of Non-Discrimination and access information for people who need language interpret</w:t>
      </w:r>
      <w:r>
        <w:t>ation or have a disability. CDBG staff speak Spanish and have access to interpretation services 24/7 to support connection with citizens who are non-Native English speakers.</w:t>
      </w:r>
    </w:p>
    <w:p w:rsidR="00C472E3" w:rsidRDefault="003673FA">
      <w:pPr>
        <w:spacing w:beforeAutospacing="1" w:afterAutospacing="1"/>
      </w:pPr>
      <w:r>
        <w:t xml:space="preserve">The public notice included the address of DCHS’ Youth &amp; Family Services Division, </w:t>
      </w:r>
      <w:r>
        <w:t>staff contact, mailing address, and phone number to allow the public multiple ways to direct questions or comments. No comments were received during the comment period. Surveys were offered in Spanish and English. </w:t>
      </w:r>
    </w:p>
    <w:p w:rsidR="00C472E3" w:rsidRDefault="003673FA">
      <w:pPr>
        <w:spacing w:beforeAutospacing="1" w:afterAutospacing="1"/>
      </w:pPr>
      <w:r>
        <w:t>The posting on the County's webpage and a</w:t>
      </w:r>
      <w:r>
        <w:t>ny community input on the 2022-23 CAPER are included as  an attached document (Attachment A) to the report. An affadavit of the publishing of the public notice in the Gresham Outlook is in Attachment B.</w:t>
      </w:r>
    </w:p>
    <w:p w:rsidR="00C472E3" w:rsidRDefault="003673FA">
      <w:pPr>
        <w:rPr>
          <w:b/>
          <w:i/>
          <w:sz w:val="28"/>
          <w:szCs w:val="28"/>
        </w:rPr>
      </w:pPr>
      <w:r>
        <w:rPr>
          <w:b/>
          <w:sz w:val="28"/>
          <w:szCs w:val="28"/>
        </w:rPr>
        <w:t>CR-45 - CDBG 91.520(c)</w:t>
      </w:r>
    </w:p>
    <w:p w:rsidR="00C472E3" w:rsidRDefault="003673FA">
      <w:pPr>
        <w:widowControl w:val="0"/>
        <w:rPr>
          <w:b/>
          <w:sz w:val="24"/>
          <w:szCs w:val="24"/>
        </w:rPr>
      </w:pPr>
      <w:r>
        <w:rPr>
          <w:b/>
          <w:sz w:val="24"/>
          <w:szCs w:val="24"/>
        </w:rPr>
        <w:t xml:space="preserve">Specify the nature of, and </w:t>
      </w:r>
      <w:r>
        <w:rPr>
          <w:b/>
          <w:sz w:val="24"/>
          <w:szCs w:val="24"/>
        </w:rPr>
        <w:t>reasons for, any changes in the jurisdiction’s program objectives and indications of how the jurisdiction would change its programs as a result of its experiences.</w:t>
      </w:r>
    </w:p>
    <w:p w:rsidR="00C472E3" w:rsidRDefault="003673FA">
      <w:pPr>
        <w:widowControl w:val="0"/>
        <w:spacing w:beforeAutospacing="1" w:afterAutospacing="1"/>
        <w:rPr>
          <w:rFonts w:cs="Arial"/>
        </w:rPr>
      </w:pPr>
      <w:r>
        <w:rPr>
          <w:rFonts w:cs="Arial"/>
        </w:rPr>
        <w:t>&lt;p dir="ltr"&gt;There were no changes in program objectives in Annual Action Plan 2022-23, it i</w:t>
      </w:r>
      <w:r>
        <w:rPr>
          <w:rFonts w:cs="Arial"/>
        </w:rPr>
        <w:t>t worth noting we had one subrecipient, El Programa Hispano complete their activities for PY2022 but decided not to renew their contract for the remaining Consolidated Plan. &lt;/p&gt;&lt;p dir="ltr"&gt;Multnomah County will continue the CDBG-CV program objectives unt</w:t>
      </w:r>
      <w:r>
        <w:rPr>
          <w:rFonts w:cs="Arial"/>
        </w:rPr>
        <w:t>il funding is exhausted. Multnomah County is considering additional program amendments to further address those negatively impacted due to the Covid-19 pandemic. Multnomah County will be holding it's Community Needs Hearing November 2023 and will gather co</w:t>
      </w:r>
      <w:r>
        <w:rPr>
          <w:rFonts w:cs="Arial"/>
        </w:rPr>
        <w:t>mmunity input as to what the community priority needs are. In addition, the continuing pandemic created or worsened staffing shortages, increased barriers to providing face-to-face service, especially for those needing English language translation, literac</w:t>
      </w:r>
      <w:r>
        <w:rPr>
          <w:rFonts w:cs="Arial"/>
        </w:rPr>
        <w:t>y challenges, mobility barriers, transportation access, access to technology, familiarity with navigating online platforms, and fear of public charge. Sub-grantees worked very hard to address those challenges, providing additional support to ensure all fam</w:t>
      </w:r>
      <w:r>
        <w:rPr>
          <w:rFonts w:cs="Arial"/>
        </w:rPr>
        <w:t>ilies received the support they needed in accessing emergency rent assistance services.&lt;/p&gt;&lt;p dir="ltr"&gt;Multnomah County is aware of the spend down priority for CDBG-CV and is continuing to work with the remaining sub-grantee to develop a more robust recru</w:t>
      </w:r>
      <w:r>
        <w:rPr>
          <w:rFonts w:cs="Arial"/>
        </w:rPr>
        <w:t>itment efforts and is examining ways to expand access to its residents in Fairview, Troutdale, Wood Village, Maywood Park and other unincorporated areas of Multnomah County for its Covid-19 emergency rent assistance funds. The County anticipates spending o</w:t>
      </w:r>
      <w:r>
        <w:rPr>
          <w:rFonts w:cs="Arial"/>
        </w:rPr>
        <w:t>ut and completing the activities within the 2023 program year. This year the sub-recipients who provied Covid-19 rent assistance relief were El Programa Hispano Catolico and Latino Network Inc. &lt;/p&gt;&lt;p dir="ltr"&gt;Multnomah County is committed to pursuing the</w:t>
      </w:r>
      <w:r>
        <w:rPr>
          <w:rFonts w:cs="Arial"/>
        </w:rPr>
        <w:t xml:space="preserve"> CDBG-CV goals and objectives detailed in the 2016-2020 Consolidated Plan. Overall Multnomah County continues to move forward with neighborhood revitalization, public facilities improvement, and infrastructure and efforts to improve and expand affordable h</w:t>
      </w:r>
      <w:r>
        <w:rPr>
          <w:rFonts w:cs="Arial"/>
        </w:rPr>
        <w:t>ousing opportunities for LMI residents and homeless individuals and families.&lt;/p&gt;</w:t>
      </w:r>
    </w:p>
    <w:p w:rsidR="00C472E3" w:rsidRDefault="003673FA">
      <w:pPr>
        <w:widowControl w:val="0"/>
        <w:rPr>
          <w:b/>
          <w:sz w:val="24"/>
          <w:szCs w:val="24"/>
        </w:rPr>
      </w:pPr>
      <w:r>
        <w:rPr>
          <w:b/>
          <w:sz w:val="24"/>
          <w:szCs w:val="24"/>
        </w:rPr>
        <w:lastRenderedPageBreak/>
        <w:t>Does this Jurisdiction have any open Brownfields Economic Development Initiative (BEDI) grants?</w:t>
      </w:r>
    </w:p>
    <w:p w:rsidR="00C472E3" w:rsidRDefault="003673FA">
      <w:pPr>
        <w:widowControl w:val="0"/>
        <w:spacing w:beforeAutospacing="1" w:afterAutospacing="1"/>
        <w:rPr>
          <w:rFonts w:cs="Arial"/>
        </w:rPr>
      </w:pPr>
      <w:r>
        <w:rPr>
          <w:rFonts w:cs="Arial"/>
        </w:rPr>
        <w:t>No</w:t>
      </w:r>
    </w:p>
    <w:p w:rsidR="00C472E3" w:rsidRDefault="003673FA">
      <w:pPr>
        <w:widowControl w:val="0"/>
        <w:rPr>
          <w:b/>
          <w:sz w:val="24"/>
          <w:szCs w:val="24"/>
        </w:rPr>
      </w:pPr>
      <w:r>
        <w:rPr>
          <w:b/>
          <w:sz w:val="24"/>
          <w:szCs w:val="24"/>
        </w:rPr>
        <w:t xml:space="preserve"> [BEDI grantees]  Describe accomplishments and program outcomes during the </w:t>
      </w:r>
      <w:r>
        <w:rPr>
          <w:b/>
          <w:sz w:val="24"/>
          <w:szCs w:val="24"/>
        </w:rPr>
        <w:t>last year.</w:t>
      </w:r>
    </w:p>
    <w:p w:rsidR="00C472E3" w:rsidRDefault="00C472E3">
      <w:pPr>
        <w:widowControl w:val="0"/>
        <w:rPr>
          <w:rFonts w:cs="Arial"/>
        </w:rPr>
      </w:pPr>
    </w:p>
    <w:p w:rsidR="00C472E3" w:rsidRDefault="00C472E3"/>
    <w:p w:rsidR="00C472E3" w:rsidRDefault="003673FA">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rsidR="00C472E3" w:rsidRDefault="003673FA">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C472E3" w:rsidRDefault="003673FA">
      <w:pPr>
        <w:widowControl w:val="0"/>
        <w:spacing w:beforeAutospacing="1" w:afterAutospacing="1"/>
        <w:rPr>
          <w:rFonts w:cs="Arial"/>
        </w:rPr>
      </w:pPr>
      <w:r>
        <w:rPr>
          <w:rFonts w:cs="Arial"/>
        </w:rPr>
        <w:t>&lt;p dir="ltr"&gt;There were no changes in program objectives in Annual Action Plan 2022-23, it it worth noting we had one subrecipient, El Programa Hispano complete their activities for PY2022 but decided not to renew their contract for the remaining Consolida</w:t>
      </w:r>
      <w:r>
        <w:rPr>
          <w:rFonts w:cs="Arial"/>
        </w:rPr>
        <w:t>ted Plan. &lt;/p&gt;&lt;p dir="ltr"&gt;Multnomah County will continue the CDBG-CV program objectives until funding is exhausted. Multnomah County is considering additional program amendments to further address those negatively impacted due to the Covid-19 pandemic. Mu</w:t>
      </w:r>
      <w:r>
        <w:rPr>
          <w:rFonts w:cs="Arial"/>
        </w:rPr>
        <w:t>ltnomah County will be holding it's Community Needs Hearing November 2023 and will gather community input as to what the community priority needs are. In addition, the continuing pandemic created or worsened staffing shortages, increased barriers to provid</w:t>
      </w:r>
      <w:r>
        <w:rPr>
          <w:rFonts w:cs="Arial"/>
        </w:rPr>
        <w:t xml:space="preserve">ing face-to-face service, especially for those needing English language translation, literacy challenges, mobility barriers, transportation access, access to technology, familiarity with navigating online platforms, and fear of public charge. Sub-grantees </w:t>
      </w:r>
      <w:r>
        <w:rPr>
          <w:rFonts w:cs="Arial"/>
        </w:rPr>
        <w:t>worked very hard to address those challenges, providing additional support to ensure all families received the support they needed in accessing emergency rent assistance services.&lt;/p&gt;&lt;p dir="ltr"&gt;Multnomah County is aware of the spend down priority for CDB</w:t>
      </w:r>
      <w:r>
        <w:rPr>
          <w:rFonts w:cs="Arial"/>
        </w:rPr>
        <w:t>G-CV and is continuing to work with the remaining sub-grantee to develop a more robust recruitment efforts and is examining ways to expand access to its residents in Fairview, Troutdale, Wood Village, Maywood Park and other unincorporated areas of Multnoma</w:t>
      </w:r>
      <w:r>
        <w:rPr>
          <w:rFonts w:cs="Arial"/>
        </w:rPr>
        <w:t>h County for its Covid-19 emergency rent assistance funds. The County anticipates spending out and completing the activities within the 2023 program year. This year the sub-recipients who provied Covid-19 rent assistance relief were El Programa Hispano Cat</w:t>
      </w:r>
      <w:r>
        <w:rPr>
          <w:rFonts w:cs="Arial"/>
        </w:rPr>
        <w:t>olico and Latino Network Inc. &lt;/p&gt;&lt;p dir="ltr"&gt;Multnomah County is committed to pursuing the CDBG-CV goals and objectives detailed in the 2016-2020 Consolidated Plan. Overall Multnomah County continues to move forward with neighborhood revitalization, publ</w:t>
      </w:r>
      <w:r>
        <w:rPr>
          <w:rFonts w:cs="Arial"/>
        </w:rPr>
        <w:t>ic facilities improvement, and infrastructure and efforts to improve and expand affordable housing opportunities for LMI residents and homeless individuals and families.&lt;/p&gt;</w:t>
      </w:r>
    </w:p>
    <w:p w:rsidR="00C472E3" w:rsidRDefault="003673FA">
      <w:pPr>
        <w:widowControl w:val="0"/>
        <w:rPr>
          <w:b/>
          <w:sz w:val="24"/>
          <w:szCs w:val="24"/>
        </w:rPr>
      </w:pPr>
      <w:r>
        <w:rPr>
          <w:b/>
          <w:sz w:val="24"/>
          <w:szCs w:val="24"/>
        </w:rPr>
        <w:t>Does this Jurisdiction have any open Brownfields Economic Development Initiative (</w:t>
      </w:r>
      <w:r>
        <w:rPr>
          <w:b/>
          <w:sz w:val="24"/>
          <w:szCs w:val="24"/>
        </w:rPr>
        <w:t>BEDI) grants?</w:t>
      </w:r>
    </w:p>
    <w:p w:rsidR="00C472E3" w:rsidRDefault="003673FA">
      <w:pPr>
        <w:widowControl w:val="0"/>
        <w:spacing w:beforeAutospacing="1" w:afterAutospacing="1"/>
        <w:rPr>
          <w:rFonts w:cs="Arial"/>
        </w:rPr>
      </w:pPr>
      <w:r>
        <w:rPr>
          <w:rFonts w:cs="Arial"/>
        </w:rPr>
        <w:t>No</w:t>
      </w:r>
    </w:p>
    <w:p w:rsidR="00C472E3" w:rsidRDefault="003673FA">
      <w:pPr>
        <w:widowControl w:val="0"/>
        <w:rPr>
          <w:b/>
          <w:sz w:val="24"/>
          <w:szCs w:val="24"/>
        </w:rPr>
      </w:pPr>
      <w:r>
        <w:rPr>
          <w:b/>
          <w:sz w:val="24"/>
          <w:szCs w:val="24"/>
        </w:rPr>
        <w:t>[BEDI grantees]  Describe accomplishments and program outcomes during the last year.</w:t>
      </w:r>
    </w:p>
    <w:p w:rsidR="00C472E3" w:rsidRDefault="00C472E3">
      <w:pPr>
        <w:widowControl w:val="0"/>
        <w:rPr>
          <w:rFonts w:cs="Arial"/>
        </w:rPr>
      </w:pPr>
    </w:p>
    <w:p w:rsidR="00C472E3" w:rsidRDefault="00C472E3"/>
    <w:p w:rsidR="00C472E3" w:rsidRDefault="00C472E3"/>
    <w:p w:rsidR="00C472E3" w:rsidRDefault="003673FA">
      <w:pPr>
        <w:pStyle w:val="Heading2"/>
        <w:keepNext w:val="0"/>
        <w:pageBreakBefore/>
        <w:widowControl w:val="0"/>
        <w:rPr>
          <w:rFonts w:ascii="Calibri" w:hAnsi="Calibri"/>
          <w:i w:val="0"/>
        </w:rPr>
      </w:pPr>
      <w:r>
        <w:rPr>
          <w:rFonts w:ascii="Calibri" w:hAnsi="Calibri"/>
          <w:i w:val="0"/>
        </w:rPr>
        <w:lastRenderedPageBreak/>
        <w:t>CR-58 – Section 3</w:t>
      </w:r>
    </w:p>
    <w:p w:rsidR="00C472E3" w:rsidRDefault="003673FA">
      <w:pPr>
        <w:widowControl w:val="0"/>
        <w:rPr>
          <w:b/>
          <w:sz w:val="24"/>
          <w:szCs w:val="24"/>
        </w:rPr>
      </w:pPr>
      <w:r>
        <w:rPr>
          <w:b/>
          <w:sz w:val="24"/>
          <w:szCs w:val="24"/>
        </w:rPr>
        <w:t xml:space="preserve">Identify the number of individuals assisted and the types of assistance provided </w:t>
      </w:r>
    </w:p>
    <w:p w:rsidR="00C472E3" w:rsidRDefault="00C472E3">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10"/>
        <w:gridCol w:w="900"/>
        <w:gridCol w:w="720"/>
        <w:gridCol w:w="990"/>
        <w:gridCol w:w="720"/>
      </w:tblGrid>
      <w:tr w:rsidR="00C472E3">
        <w:trPr>
          <w:cantSplit/>
        </w:trPr>
        <w:tc>
          <w:tcPr>
            <w:tcW w:w="5490" w:type="dxa"/>
          </w:tcPr>
          <w:p w:rsidR="00C472E3" w:rsidRDefault="003673FA">
            <w:pPr>
              <w:keepNext/>
              <w:widowControl w:val="0"/>
              <w:tabs>
                <w:tab w:val="left" w:pos="2070"/>
              </w:tabs>
              <w:spacing w:after="0" w:line="240" w:lineRule="auto"/>
              <w:ind w:right="162"/>
              <w:jc w:val="center"/>
              <w:rPr>
                <w:b/>
              </w:rPr>
            </w:pPr>
            <w:r>
              <w:rPr>
                <w:b/>
              </w:rPr>
              <w:t>Total Labor Hours</w:t>
            </w:r>
          </w:p>
        </w:tc>
        <w:tc>
          <w:tcPr>
            <w:tcW w:w="810" w:type="dxa"/>
          </w:tcPr>
          <w:p w:rsidR="00C472E3" w:rsidRDefault="003673FA">
            <w:pPr>
              <w:keepNext/>
              <w:widowControl w:val="0"/>
              <w:spacing w:after="0" w:line="240" w:lineRule="auto"/>
              <w:jc w:val="center"/>
              <w:rPr>
                <w:b/>
              </w:rPr>
            </w:pPr>
            <w:r>
              <w:rPr>
                <w:b/>
              </w:rPr>
              <w:t>CDBG</w:t>
            </w:r>
          </w:p>
        </w:tc>
        <w:tc>
          <w:tcPr>
            <w:tcW w:w="900" w:type="dxa"/>
          </w:tcPr>
          <w:p w:rsidR="00C472E3" w:rsidRDefault="003673FA">
            <w:pPr>
              <w:keepNext/>
              <w:widowControl w:val="0"/>
              <w:spacing w:after="0" w:line="240" w:lineRule="auto"/>
              <w:jc w:val="center"/>
              <w:rPr>
                <w:b/>
              </w:rPr>
            </w:pPr>
            <w:r>
              <w:rPr>
                <w:b/>
              </w:rPr>
              <w:t>HOME</w:t>
            </w:r>
          </w:p>
        </w:tc>
        <w:tc>
          <w:tcPr>
            <w:tcW w:w="720" w:type="dxa"/>
          </w:tcPr>
          <w:p w:rsidR="00C472E3" w:rsidRDefault="003673FA">
            <w:pPr>
              <w:keepNext/>
              <w:widowControl w:val="0"/>
              <w:spacing w:after="0" w:line="240" w:lineRule="auto"/>
              <w:rPr>
                <w:b/>
              </w:rPr>
            </w:pPr>
            <w:r>
              <w:rPr>
                <w:b/>
              </w:rPr>
              <w:t>ESG</w:t>
            </w:r>
          </w:p>
        </w:tc>
        <w:tc>
          <w:tcPr>
            <w:tcW w:w="990" w:type="dxa"/>
          </w:tcPr>
          <w:p w:rsidR="00C472E3" w:rsidRDefault="003673FA">
            <w:pPr>
              <w:keepNext/>
              <w:widowControl w:val="0"/>
              <w:spacing w:after="0" w:line="240" w:lineRule="auto"/>
              <w:jc w:val="center"/>
              <w:rPr>
                <w:b/>
              </w:rPr>
            </w:pPr>
            <w:r>
              <w:rPr>
                <w:b/>
              </w:rPr>
              <w:t>HOPWA</w:t>
            </w:r>
          </w:p>
        </w:tc>
        <w:tc>
          <w:tcPr>
            <w:tcW w:w="720" w:type="dxa"/>
          </w:tcPr>
          <w:p w:rsidR="00C472E3" w:rsidRDefault="003673FA">
            <w:pPr>
              <w:keepNext/>
              <w:widowControl w:val="0"/>
              <w:spacing w:after="0" w:line="240" w:lineRule="auto"/>
              <w:jc w:val="center"/>
              <w:rPr>
                <w:b/>
              </w:rPr>
            </w:pPr>
            <w:r>
              <w:rPr>
                <w:b/>
              </w:rPr>
              <w:t>HTF</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Total Number of Activities</w:t>
            </w:r>
          </w:p>
        </w:tc>
        <w:tc>
          <w:tcPr>
            <w:tcW w:w="810" w:type="dxa"/>
            <w:vAlign w:val="center"/>
          </w:tcPr>
          <w:p w:rsidR="00C472E3" w:rsidRDefault="003673FA">
            <w:pPr>
              <w:spacing w:beforeAutospacing="1" w:afterAutospacing="1"/>
              <w:jc w:val="right"/>
            </w:pPr>
            <w:r>
              <w:rPr>
                <w:rFonts w:ascii="Arial" w:hAnsi="Arial"/>
                <w:color w:val="000000"/>
                <w:sz w:val="16"/>
              </w:rPr>
              <w:t>0</w:t>
            </w:r>
          </w:p>
        </w:tc>
        <w:tc>
          <w:tcPr>
            <w:tcW w:w="900" w:type="dxa"/>
            <w:vAlign w:val="center"/>
          </w:tcPr>
          <w:p w:rsidR="00C472E3" w:rsidRDefault="003673FA">
            <w:pPr>
              <w:spacing w:beforeAutospacing="1" w:afterAutospacing="1"/>
              <w:jc w:val="right"/>
            </w:pPr>
            <w:r>
              <w:rPr>
                <w:rFonts w:ascii="Arial" w:hAnsi="Arial"/>
                <w:color w:val="000000"/>
                <w:sz w:val="16"/>
              </w:rPr>
              <w:t>0</w:t>
            </w:r>
          </w:p>
        </w:tc>
        <w:tc>
          <w:tcPr>
            <w:tcW w:w="720" w:type="dxa"/>
            <w:vAlign w:val="center"/>
          </w:tcPr>
          <w:p w:rsidR="00C472E3" w:rsidRDefault="003673FA">
            <w:pPr>
              <w:spacing w:beforeAutospacing="1" w:afterAutospacing="1"/>
              <w:jc w:val="right"/>
            </w:pPr>
            <w:r>
              <w:rPr>
                <w:rFonts w:ascii="Arial" w:hAnsi="Arial"/>
                <w:color w:val="000000"/>
                <w:sz w:val="16"/>
              </w:rPr>
              <w:t>0</w:t>
            </w:r>
          </w:p>
        </w:tc>
        <w:tc>
          <w:tcPr>
            <w:tcW w:w="990" w:type="dxa"/>
            <w:vAlign w:val="center"/>
          </w:tcPr>
          <w:p w:rsidR="00C472E3" w:rsidRDefault="003673FA">
            <w:pPr>
              <w:spacing w:beforeAutospacing="1" w:afterAutospacing="1"/>
              <w:jc w:val="right"/>
            </w:pPr>
            <w:r>
              <w:rPr>
                <w:rFonts w:ascii="Arial" w:hAnsi="Arial"/>
                <w:color w:val="000000"/>
                <w:sz w:val="16"/>
              </w:rPr>
              <w:t>0</w:t>
            </w:r>
          </w:p>
        </w:tc>
        <w:tc>
          <w:tcPr>
            <w:tcW w:w="720" w:type="dxa"/>
            <w:vAlign w:val="center"/>
          </w:tcPr>
          <w:p w:rsidR="00C472E3" w:rsidRDefault="003673FA">
            <w:pPr>
              <w:spacing w:beforeAutospacing="1" w:afterAutospacing="1"/>
              <w:jc w:val="right"/>
            </w:pPr>
            <w:r>
              <w:rPr>
                <w:rFonts w:ascii="Arial" w:hAnsi="Arial"/>
                <w:color w:val="000000"/>
                <w:sz w:val="16"/>
              </w:rPr>
              <w:t>0</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Total Labor Hours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Total Section 3 Worker Hours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Total Targeted Section 3 Worker Hours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rsidR="00C472E3" w:rsidRDefault="00C472E3">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10"/>
        <w:gridCol w:w="900"/>
        <w:gridCol w:w="720"/>
        <w:gridCol w:w="990"/>
        <w:gridCol w:w="720"/>
      </w:tblGrid>
      <w:tr w:rsidR="00C472E3">
        <w:trPr>
          <w:cantSplit/>
        </w:trPr>
        <w:tc>
          <w:tcPr>
            <w:tcW w:w="5490" w:type="dxa"/>
          </w:tcPr>
          <w:p w:rsidR="00C472E3" w:rsidRDefault="003673FA">
            <w:pPr>
              <w:keepNext/>
              <w:widowControl w:val="0"/>
              <w:tabs>
                <w:tab w:val="left" w:pos="2070"/>
              </w:tabs>
              <w:spacing w:after="0" w:line="240" w:lineRule="auto"/>
              <w:ind w:right="162"/>
              <w:jc w:val="center"/>
              <w:rPr>
                <w:b/>
              </w:rPr>
            </w:pPr>
            <w:r>
              <w:rPr>
                <w:b/>
              </w:rPr>
              <w:t xml:space="preserve">Qualitative Efforts - Number of Activities by </w:t>
            </w:r>
            <w:r>
              <w:rPr>
                <w:b/>
              </w:rPr>
              <w:t>Program</w:t>
            </w:r>
          </w:p>
        </w:tc>
        <w:tc>
          <w:tcPr>
            <w:tcW w:w="810" w:type="dxa"/>
          </w:tcPr>
          <w:p w:rsidR="00C472E3" w:rsidRDefault="003673FA">
            <w:pPr>
              <w:keepNext/>
              <w:widowControl w:val="0"/>
              <w:spacing w:after="0" w:line="240" w:lineRule="auto"/>
              <w:jc w:val="center"/>
              <w:rPr>
                <w:b/>
              </w:rPr>
            </w:pPr>
            <w:r>
              <w:rPr>
                <w:b/>
              </w:rPr>
              <w:t>CDBG</w:t>
            </w:r>
          </w:p>
        </w:tc>
        <w:tc>
          <w:tcPr>
            <w:tcW w:w="900" w:type="dxa"/>
          </w:tcPr>
          <w:p w:rsidR="00C472E3" w:rsidRDefault="003673FA">
            <w:pPr>
              <w:keepNext/>
              <w:widowControl w:val="0"/>
              <w:spacing w:after="0" w:line="240" w:lineRule="auto"/>
              <w:jc w:val="center"/>
              <w:rPr>
                <w:b/>
              </w:rPr>
            </w:pPr>
            <w:r>
              <w:rPr>
                <w:b/>
              </w:rPr>
              <w:t>HOME</w:t>
            </w:r>
          </w:p>
        </w:tc>
        <w:tc>
          <w:tcPr>
            <w:tcW w:w="720" w:type="dxa"/>
          </w:tcPr>
          <w:p w:rsidR="00C472E3" w:rsidRDefault="003673FA">
            <w:pPr>
              <w:keepNext/>
              <w:widowControl w:val="0"/>
              <w:spacing w:after="0" w:line="240" w:lineRule="auto"/>
              <w:rPr>
                <w:b/>
              </w:rPr>
            </w:pPr>
            <w:r>
              <w:rPr>
                <w:b/>
              </w:rPr>
              <w:t>ESG</w:t>
            </w:r>
          </w:p>
        </w:tc>
        <w:tc>
          <w:tcPr>
            <w:tcW w:w="990" w:type="dxa"/>
          </w:tcPr>
          <w:p w:rsidR="00C472E3" w:rsidRDefault="003673FA">
            <w:pPr>
              <w:keepNext/>
              <w:widowControl w:val="0"/>
              <w:spacing w:after="0" w:line="240" w:lineRule="auto"/>
              <w:jc w:val="center"/>
              <w:rPr>
                <w:b/>
              </w:rPr>
            </w:pPr>
            <w:r>
              <w:rPr>
                <w:b/>
              </w:rPr>
              <w:t>HOPWA</w:t>
            </w:r>
          </w:p>
        </w:tc>
        <w:tc>
          <w:tcPr>
            <w:tcW w:w="720" w:type="dxa"/>
          </w:tcPr>
          <w:p w:rsidR="00C472E3" w:rsidRDefault="003673FA">
            <w:pPr>
              <w:keepNext/>
              <w:widowControl w:val="0"/>
              <w:spacing w:after="0" w:line="240" w:lineRule="auto"/>
              <w:jc w:val="center"/>
              <w:rPr>
                <w:b/>
              </w:rPr>
            </w:pPr>
            <w:r>
              <w:rPr>
                <w:b/>
              </w:rPr>
              <w:t>HTF</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Direct, on-the job training (including apprenticeships).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Provided or connected residents with assistance in seeking employment including: drafting resumes,preparing for interviews, finding job opportunities, connecting residents to job placement services.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Held one or more job fairs.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Provided or connected residents with supportive services that provide one or more of the following: work readiness health screenings, intervi</w:t>
            </w:r>
            <w:r>
              <w:rPr>
                <w:rFonts w:ascii="Arial" w:hAnsi="Arial"/>
                <w:color w:val="25396E"/>
                <w:sz w:val="16"/>
              </w:rPr>
              <w:t>ew clothing, uniforms, test fees, transportation.</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Assisted residents with finding child care.</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Assisted residents to apply for, or attend community college or a four year educational institution.</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Assisted residents to apply for, or attend vocational/technical training.</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Assisted residents to obtain financial literacy training and/or coaching.</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Bonding assistance, guaranties, or other efforts to support viable bids from Section 3</w:t>
            </w:r>
            <w:r>
              <w:rPr>
                <w:rFonts w:ascii="Arial" w:hAnsi="Arial"/>
                <w:color w:val="25396E"/>
                <w:sz w:val="16"/>
              </w:rPr>
              <w:t xml:space="preserve"> business concerns.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r w:rsidR="00C472E3">
        <w:trPr>
          <w:cantSplit/>
        </w:trPr>
        <w:tc>
          <w:tcPr>
            <w:tcW w:w="5490" w:type="dxa"/>
            <w:vAlign w:val="center"/>
          </w:tcPr>
          <w:p w:rsidR="00C472E3" w:rsidRDefault="003673FA">
            <w:pPr>
              <w:spacing w:beforeAutospacing="1" w:afterAutospacing="1"/>
            </w:pPr>
            <w:r>
              <w:rPr>
                <w:rFonts w:ascii="Arial" w:hAnsi="Arial"/>
                <w:color w:val="25396E"/>
                <w:sz w:val="16"/>
              </w:rPr>
              <w:lastRenderedPageBreak/>
              <w:t>Other.</w:t>
            </w:r>
          </w:p>
        </w:tc>
        <w:tc>
          <w:tcPr>
            <w:tcW w:w="810" w:type="dxa"/>
            <w:vAlign w:val="center"/>
          </w:tcPr>
          <w:p w:rsidR="00C472E3" w:rsidRDefault="003673FA">
            <w:pPr>
              <w:spacing w:beforeAutospacing="1" w:afterAutospacing="1"/>
              <w:jc w:val="right"/>
            </w:pPr>
            <w:r>
              <w:rPr>
                <w:rFonts w:ascii="Arial" w:hAnsi="Arial"/>
                <w:color w:val="000000"/>
                <w:sz w:val="16"/>
              </w:rPr>
              <w:t xml:space="preserve"> </w:t>
            </w:r>
          </w:p>
        </w:tc>
        <w:tc>
          <w:tcPr>
            <w:tcW w:w="90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c>
          <w:tcPr>
            <w:tcW w:w="990" w:type="dxa"/>
            <w:vAlign w:val="center"/>
          </w:tcPr>
          <w:p w:rsidR="00C472E3" w:rsidRDefault="003673FA">
            <w:pPr>
              <w:spacing w:beforeAutospacing="1" w:afterAutospacing="1"/>
              <w:jc w:val="right"/>
            </w:pPr>
            <w:r>
              <w:rPr>
                <w:rFonts w:ascii="Arial" w:hAnsi="Arial"/>
                <w:color w:val="000000"/>
                <w:sz w:val="16"/>
              </w:rPr>
              <w:t xml:space="preserve"> </w:t>
            </w:r>
          </w:p>
        </w:tc>
        <w:tc>
          <w:tcPr>
            <w:tcW w:w="720" w:type="dxa"/>
            <w:vAlign w:val="center"/>
          </w:tcPr>
          <w:p w:rsidR="00C472E3" w:rsidRDefault="003673FA">
            <w:pPr>
              <w:spacing w:beforeAutospacing="1" w:afterAutospacing="1"/>
              <w:jc w:val="right"/>
            </w:pPr>
            <w:r>
              <w:rPr>
                <w:rFonts w:ascii="Arial" w:hAnsi="Arial"/>
                <w:color w:val="000000"/>
                <w:sz w:val="16"/>
              </w:rPr>
              <w:t xml:space="preserve"> </w:t>
            </w:r>
          </w:p>
        </w:tc>
      </w:tr>
    </w:tbl>
    <w:p w:rsidR="00C472E3" w:rsidRDefault="003673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rsidR="00C472E3" w:rsidRDefault="00C472E3">
      <w:pPr>
        <w:widowControl w:val="0"/>
        <w:rPr>
          <w:b/>
          <w:sz w:val="24"/>
          <w:szCs w:val="24"/>
        </w:rPr>
      </w:pPr>
    </w:p>
    <w:p w:rsidR="00C472E3" w:rsidRDefault="003673FA">
      <w:pPr>
        <w:widowControl w:val="0"/>
        <w:rPr>
          <w:b/>
          <w:sz w:val="24"/>
          <w:szCs w:val="24"/>
        </w:rPr>
      </w:pPr>
      <w:r>
        <w:rPr>
          <w:b/>
          <w:sz w:val="24"/>
          <w:szCs w:val="24"/>
        </w:rPr>
        <w:t>Narrative</w:t>
      </w:r>
    </w:p>
    <w:p w:rsidR="00C472E3" w:rsidRDefault="003673FA">
      <w:pPr>
        <w:widowControl w:val="0"/>
        <w:spacing w:beforeAutospacing="1" w:afterAutospacing="1"/>
        <w:rPr>
          <w:rFonts w:cs="Arial"/>
        </w:rPr>
      </w:pPr>
      <w:r>
        <w:rPr>
          <w:rFonts w:cs="Arial"/>
        </w:rPr>
        <w:t>Multnomah County did not carry out any activities that triggered Section 3 requirements in fiscal year 2022-23.</w:t>
      </w:r>
    </w:p>
    <w:p w:rsidR="00C472E3" w:rsidRDefault="00C472E3"/>
    <w:sectPr w:rsidR="00C472E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FA" w:rsidRDefault="003673FA">
      <w:r>
        <w:separator/>
      </w:r>
    </w:p>
  </w:endnote>
  <w:endnote w:type="continuationSeparator" w:id="0">
    <w:p w:rsidR="003673FA" w:rsidRDefault="003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C472E3">
      <w:trPr>
        <w:jc w:val="center"/>
      </w:trPr>
      <w:tc>
        <w:tcPr>
          <w:tcW w:w="828" w:type="dxa"/>
        </w:tcPr>
        <w:p w:rsidR="00C472E3" w:rsidRDefault="00C472E3">
          <w:pPr>
            <w:pStyle w:val="Footer"/>
            <w:spacing w:after="0" w:line="240" w:lineRule="auto"/>
            <w:jc w:val="center"/>
          </w:pPr>
        </w:p>
      </w:tc>
      <w:tc>
        <w:tcPr>
          <w:tcW w:w="7976" w:type="dxa"/>
        </w:tcPr>
        <w:p w:rsidR="00C472E3" w:rsidRDefault="003673FA">
          <w:pPr>
            <w:pStyle w:val="Footer"/>
            <w:spacing w:after="0" w:line="240" w:lineRule="auto"/>
            <w:jc w:val="center"/>
          </w:pPr>
          <w:r>
            <w:t>CAPER</w:t>
          </w:r>
        </w:p>
      </w:tc>
      <w:tc>
        <w:tcPr>
          <w:tcW w:w="772" w:type="dxa"/>
        </w:tcPr>
        <w:p w:rsidR="00C472E3" w:rsidRDefault="003673FA">
          <w:pPr>
            <w:pStyle w:val="Footer"/>
            <w:spacing w:after="0" w:line="240" w:lineRule="auto"/>
            <w:jc w:val="right"/>
          </w:pPr>
          <w:r>
            <w:fldChar w:fldCharType="begin"/>
          </w:r>
          <w:r>
            <w:instrText>page</w:instrText>
          </w:r>
          <w:r>
            <w:fldChar w:fldCharType="separate"/>
          </w:r>
          <w:r w:rsidR="00F44494">
            <w:rPr>
              <w:noProof/>
            </w:rPr>
            <w:t>6</w:t>
          </w:r>
          <w:r>
            <w:fldChar w:fldCharType="end"/>
          </w:r>
        </w:p>
      </w:tc>
    </w:tr>
  </w:tbl>
  <w:p w:rsidR="00C472E3" w:rsidRDefault="003673FA">
    <w:pPr>
      <w:pStyle w:val="Footer"/>
      <w:spacing w:before="120" w:after="0"/>
      <w:rPr>
        <w:rFonts w:asciiTheme="minorHAnsi" w:hAnsiTheme="minorHAnsi"/>
        <w:b/>
        <w:i/>
        <w:sz w:val="16"/>
      </w:rPr>
    </w:pPr>
    <w:r>
      <w:rPr>
        <w:rFonts w:asciiTheme="minorHAnsi" w:hAnsiTheme="minorHAnsi" w:cs="Arial"/>
        <w:color w:val="000000"/>
        <w:sz w:val="16"/>
      </w:rPr>
      <w:t xml:space="preserve">OMB </w:t>
    </w:r>
    <w:r>
      <w:rPr>
        <w:rFonts w:asciiTheme="minorHAnsi" w:hAnsiTheme="minorHAnsi" w:cs="Arial"/>
        <w:color w:val="000000"/>
        <w:sz w:val="16"/>
      </w:rPr>
      <w:t>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FA" w:rsidRDefault="003673FA">
      <w:r>
        <w:separator/>
      </w:r>
    </w:p>
  </w:footnote>
  <w:footnote w:type="continuationSeparator" w:id="0">
    <w:p w:rsidR="003673FA" w:rsidRDefault="00367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3FA"/>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472E3"/>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494"/>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797B6674-0E92-4E03-8772-69FC1D7564B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10163</Words>
  <Characters>57934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67962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Fanny Adams</cp:lastModifiedBy>
  <cp:revision>2</cp:revision>
  <dcterms:created xsi:type="dcterms:W3CDTF">2023-10-09T20:21:00Z</dcterms:created>
  <dcterms:modified xsi:type="dcterms:W3CDTF">2023-10-09T20:21:00Z</dcterms:modified>
</cp:coreProperties>
</file>