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89" w:type="dxa"/>
        <w:tblInd w:w="90" w:type="dxa"/>
        <w:tblBorders>
          <w:bottom w:val="single" w:sz="4" w:space="0" w:color="auto"/>
        </w:tblBorders>
        <w:tblLayout w:type="fixed"/>
        <w:tblCellMar>
          <w:top w:w="29" w:type="dxa"/>
          <w:left w:w="29" w:type="dxa"/>
          <w:bottom w:w="29" w:type="dxa"/>
          <w:right w:w="29" w:type="dxa"/>
        </w:tblCellMar>
        <w:tblLook w:val="01E0"/>
      </w:tblPr>
      <w:tblGrid>
        <w:gridCol w:w="1105"/>
        <w:gridCol w:w="8284"/>
      </w:tblGrid>
      <w:tr w:rsidR="00B4716B" w:rsidRPr="00F4371C" w:rsidTr="002B5906">
        <w:trPr>
          <w:trHeight w:val="305"/>
        </w:trPr>
        <w:tc>
          <w:tcPr>
            <w:tcW w:w="9389" w:type="dxa"/>
            <w:gridSpan w:val="2"/>
            <w:vAlign w:val="center"/>
          </w:tcPr>
          <w:p w:rsidR="00B4716B" w:rsidRPr="003C7A22" w:rsidRDefault="00B4716B" w:rsidP="00060FCB">
            <w:pPr>
              <w:spacing w:before="0" w:after="0"/>
              <w:rPr>
                <w:b/>
                <w:szCs w:val="24"/>
              </w:rPr>
            </w:pPr>
          </w:p>
        </w:tc>
      </w:tr>
      <w:tr w:rsidR="003C7A22" w:rsidRPr="000F2843" w:rsidTr="002B5906">
        <w:trPr>
          <w:trHeight w:val="305"/>
        </w:trPr>
        <w:tc>
          <w:tcPr>
            <w:tcW w:w="1105" w:type="dxa"/>
            <w:vAlign w:val="center"/>
          </w:tcPr>
          <w:p w:rsidR="003C7A22" w:rsidRPr="003C7A22" w:rsidRDefault="003C7A22" w:rsidP="003C7A22">
            <w:pPr>
              <w:spacing w:before="0" w:after="0"/>
              <w:rPr>
                <w:b/>
                <w:szCs w:val="24"/>
              </w:rPr>
            </w:pPr>
            <w:r>
              <w:rPr>
                <w:b/>
                <w:szCs w:val="24"/>
              </w:rPr>
              <w:t>Date</w:t>
            </w:r>
            <w:r w:rsidRPr="003C7A22">
              <w:rPr>
                <w:b/>
                <w:szCs w:val="24"/>
              </w:rPr>
              <w:t>:</w:t>
            </w:r>
          </w:p>
        </w:tc>
        <w:tc>
          <w:tcPr>
            <w:tcW w:w="8284" w:type="dxa"/>
            <w:vAlign w:val="center"/>
          </w:tcPr>
          <w:p w:rsidR="003C7A22" w:rsidRPr="00304B00" w:rsidRDefault="000C46B3" w:rsidP="005A33A2">
            <w:pPr>
              <w:pStyle w:val="MemoHeading"/>
              <w:spacing w:before="0"/>
            </w:pPr>
            <w:r>
              <w:t>June 10</w:t>
            </w:r>
            <w:r w:rsidR="001C1641">
              <w:t>, 2015</w:t>
            </w:r>
          </w:p>
        </w:tc>
      </w:tr>
      <w:tr w:rsidR="003C7A22" w:rsidRPr="000F2843" w:rsidTr="002B5906">
        <w:trPr>
          <w:trHeight w:val="306"/>
        </w:trPr>
        <w:tc>
          <w:tcPr>
            <w:tcW w:w="1105" w:type="dxa"/>
            <w:vAlign w:val="center"/>
          </w:tcPr>
          <w:p w:rsidR="003C7A22" w:rsidRPr="00304B00" w:rsidRDefault="003C7A22" w:rsidP="003C7A22">
            <w:pPr>
              <w:pStyle w:val="MemoHeading"/>
              <w:spacing w:before="0"/>
              <w:rPr>
                <w:b/>
              </w:rPr>
            </w:pPr>
            <w:r w:rsidRPr="00304B00">
              <w:rPr>
                <w:b/>
              </w:rPr>
              <w:t xml:space="preserve">To: </w:t>
            </w:r>
          </w:p>
        </w:tc>
        <w:tc>
          <w:tcPr>
            <w:tcW w:w="8284" w:type="dxa"/>
            <w:vAlign w:val="center"/>
          </w:tcPr>
          <w:p w:rsidR="003C7A22" w:rsidRPr="00304B00" w:rsidRDefault="00735AC4" w:rsidP="003C7A22">
            <w:pPr>
              <w:pStyle w:val="MemoHeading"/>
              <w:spacing w:before="0"/>
            </w:pPr>
            <w:r>
              <w:t>Land Use Subcommittee</w:t>
            </w:r>
          </w:p>
        </w:tc>
      </w:tr>
      <w:tr w:rsidR="003C7A22" w:rsidRPr="000F2843" w:rsidTr="002B5906">
        <w:trPr>
          <w:trHeight w:val="305"/>
        </w:trPr>
        <w:tc>
          <w:tcPr>
            <w:tcW w:w="1105" w:type="dxa"/>
            <w:vAlign w:val="center"/>
          </w:tcPr>
          <w:p w:rsidR="003C7A22" w:rsidRPr="00304B00" w:rsidRDefault="003C7A22" w:rsidP="003C7A22">
            <w:pPr>
              <w:pStyle w:val="MemoHeading"/>
              <w:spacing w:before="0"/>
              <w:rPr>
                <w:b/>
              </w:rPr>
            </w:pPr>
            <w:r>
              <w:rPr>
                <w:b/>
              </w:rPr>
              <w:t>From</w:t>
            </w:r>
            <w:r w:rsidRPr="00304B00">
              <w:rPr>
                <w:b/>
              </w:rPr>
              <w:t xml:space="preserve">: </w:t>
            </w:r>
          </w:p>
        </w:tc>
        <w:tc>
          <w:tcPr>
            <w:tcW w:w="8284" w:type="dxa"/>
            <w:vAlign w:val="center"/>
          </w:tcPr>
          <w:p w:rsidR="003C7A22" w:rsidRPr="00304B00" w:rsidRDefault="001C1641" w:rsidP="003C7A22">
            <w:pPr>
              <w:pStyle w:val="MemoHeading"/>
              <w:spacing w:before="0"/>
            </w:pPr>
            <w:r>
              <w:t>Rich Faith, Senior Land Use Planner</w:t>
            </w:r>
          </w:p>
        </w:tc>
      </w:tr>
      <w:tr w:rsidR="003C7A22" w:rsidRPr="000F2843" w:rsidTr="002B5906">
        <w:trPr>
          <w:trHeight w:val="306"/>
        </w:trPr>
        <w:tc>
          <w:tcPr>
            <w:tcW w:w="1105" w:type="dxa"/>
            <w:vAlign w:val="center"/>
          </w:tcPr>
          <w:p w:rsidR="003C7A22" w:rsidRPr="00304B00" w:rsidRDefault="003C7A22" w:rsidP="005A33A2">
            <w:pPr>
              <w:pStyle w:val="MemoHeading"/>
              <w:spacing w:before="0"/>
              <w:rPr>
                <w:b/>
              </w:rPr>
            </w:pPr>
            <w:r w:rsidRPr="00304B00">
              <w:rPr>
                <w:b/>
              </w:rPr>
              <w:t>Re:</w:t>
            </w:r>
          </w:p>
        </w:tc>
        <w:tc>
          <w:tcPr>
            <w:tcW w:w="8284" w:type="dxa"/>
            <w:vAlign w:val="center"/>
          </w:tcPr>
          <w:p w:rsidR="003C7A22" w:rsidRPr="001C1641" w:rsidRDefault="00735AC4" w:rsidP="00060FCB">
            <w:pPr>
              <w:pStyle w:val="MemoHeading"/>
              <w:spacing w:before="0"/>
              <w:rPr>
                <w:rFonts w:cs="Tahoma"/>
                <w:szCs w:val="22"/>
              </w:rPr>
            </w:pPr>
            <w:r>
              <w:rPr>
                <w:rFonts w:cs="Tahoma"/>
                <w:szCs w:val="22"/>
              </w:rPr>
              <w:t>Nonconforming Uses and Nonconforming Developments</w:t>
            </w:r>
          </w:p>
        </w:tc>
      </w:tr>
      <w:tr w:rsidR="00D25208" w:rsidRPr="000F2843" w:rsidTr="002B5906">
        <w:trPr>
          <w:trHeight w:val="306"/>
        </w:trPr>
        <w:tc>
          <w:tcPr>
            <w:tcW w:w="1105" w:type="dxa"/>
            <w:vAlign w:val="center"/>
          </w:tcPr>
          <w:p w:rsidR="00D25208" w:rsidRPr="00304B00" w:rsidRDefault="00D25208" w:rsidP="005A33A2">
            <w:pPr>
              <w:pStyle w:val="MemoHeading"/>
              <w:spacing w:before="0"/>
              <w:rPr>
                <w:b/>
              </w:rPr>
            </w:pPr>
          </w:p>
        </w:tc>
        <w:tc>
          <w:tcPr>
            <w:tcW w:w="8284" w:type="dxa"/>
            <w:vAlign w:val="center"/>
          </w:tcPr>
          <w:p w:rsidR="00D25208" w:rsidRDefault="00D25208" w:rsidP="00060FCB">
            <w:pPr>
              <w:pStyle w:val="MemoHeading"/>
              <w:spacing w:before="0"/>
              <w:rPr>
                <w:rFonts w:cs="Tahoma"/>
                <w:szCs w:val="22"/>
              </w:rPr>
            </w:pPr>
          </w:p>
        </w:tc>
      </w:tr>
    </w:tbl>
    <w:p w:rsidR="003C0817" w:rsidRDefault="003C0817" w:rsidP="003C0817">
      <w:pPr>
        <w:shd w:val="clear" w:color="auto" w:fill="C6D9F1" w:themeFill="text2" w:themeFillTint="33"/>
      </w:pPr>
      <w:r>
        <w:t>BACKGROUND</w:t>
      </w:r>
    </w:p>
    <w:p w:rsidR="00C53F57" w:rsidRDefault="001C1641" w:rsidP="003C7A22">
      <w:r>
        <w:t>At the February 25</w:t>
      </w:r>
      <w:r w:rsidRPr="001C1641">
        <w:rPr>
          <w:vertAlign w:val="superscript"/>
        </w:rPr>
        <w:t>th</w:t>
      </w:r>
      <w:r>
        <w:t xml:space="preserve"> CAC meeting, </w:t>
      </w:r>
      <w:r w:rsidR="00AE7D06">
        <w:t>staff pr</w:t>
      </w:r>
      <w:r w:rsidR="00735AC4">
        <w:t xml:space="preserve">esented a background report on </w:t>
      </w:r>
      <w:r w:rsidR="00B97DF0">
        <w:t>p</w:t>
      </w:r>
      <w:r w:rsidR="00AE7D06">
        <w:t>olicy issues</w:t>
      </w:r>
      <w:r w:rsidR="00B97DF0">
        <w:t xml:space="preserve"> related to farm, forest, rural economy and land use. </w:t>
      </w:r>
      <w:r w:rsidR="00735AC4">
        <w:t>Among the preliminary policy issues listed in</w:t>
      </w:r>
      <w:r w:rsidR="00C53F57">
        <w:t xml:space="preserve"> that background report was non</w:t>
      </w:r>
      <w:r w:rsidR="00735AC4">
        <w:t xml:space="preserve">conforming uses.  It was noted that planning staff </w:t>
      </w:r>
      <w:r w:rsidR="005022B7">
        <w:t xml:space="preserve">had raised </w:t>
      </w:r>
      <w:r w:rsidR="00C53F57">
        <w:t>this as a</w:t>
      </w:r>
      <w:r w:rsidR="000F6BB0">
        <w:t>n</w:t>
      </w:r>
      <w:r w:rsidR="00C53F57">
        <w:t xml:space="preserve"> issue because the non</w:t>
      </w:r>
      <w:r w:rsidR="005022B7">
        <w:t>conforming use standards are relatively discretionary and should be clarified or possibly tightened u</w:t>
      </w:r>
      <w:r w:rsidR="00C53F57">
        <w:t xml:space="preserve">p.  The following question </w:t>
      </w:r>
      <w:r w:rsidR="005022B7">
        <w:t>was posed:  Should there be relatively more or less flexibility to alter or expa</w:t>
      </w:r>
      <w:r w:rsidR="00C53F57">
        <w:t xml:space="preserve">nd existing nonconforming uses? </w:t>
      </w:r>
    </w:p>
    <w:p w:rsidR="00C53F57" w:rsidRDefault="00C53F57" w:rsidP="003C7A22">
      <w:pPr>
        <w:rPr>
          <w:rFonts w:cs="Arial"/>
        </w:rPr>
      </w:pPr>
      <w:r>
        <w:rPr>
          <w:rFonts w:cs="Arial"/>
        </w:rPr>
        <w:t>This issue did not rate very high with the CAC when members voted to prioritize the list of policy issue</w:t>
      </w:r>
      <w:r w:rsidR="006D7125">
        <w:rPr>
          <w:rFonts w:cs="Arial"/>
        </w:rPr>
        <w:t xml:space="preserve">s. Consequently, it has not </w:t>
      </w:r>
      <w:r>
        <w:rPr>
          <w:rFonts w:cs="Arial"/>
        </w:rPr>
        <w:t xml:space="preserve">gotten much attention and there has been virtually no discussion </w:t>
      </w:r>
      <w:r w:rsidR="006D7125">
        <w:rPr>
          <w:rFonts w:cs="Arial"/>
        </w:rPr>
        <w:t xml:space="preserve">at the CAC or subcommittee meetings on this topic.  </w:t>
      </w:r>
    </w:p>
    <w:p w:rsidR="006D7125" w:rsidRDefault="006D7125" w:rsidP="003C7A22">
      <w:pPr>
        <w:rPr>
          <w:rFonts w:cs="Arial"/>
        </w:rPr>
      </w:pPr>
      <w:r>
        <w:rPr>
          <w:rFonts w:cs="Arial"/>
        </w:rPr>
        <w:t>The purpose of this memorandum is to provide additional background informa</w:t>
      </w:r>
      <w:r w:rsidR="003C0817">
        <w:rPr>
          <w:rFonts w:cs="Arial"/>
        </w:rPr>
        <w:t>tion about</w:t>
      </w:r>
      <w:r>
        <w:rPr>
          <w:rFonts w:cs="Arial"/>
        </w:rPr>
        <w:t xml:space="preserve"> no</w:t>
      </w:r>
      <w:r w:rsidR="00936FD2">
        <w:rPr>
          <w:rFonts w:cs="Arial"/>
        </w:rPr>
        <w:t>nconforming uses</w:t>
      </w:r>
      <w:r w:rsidR="000F6BB0">
        <w:rPr>
          <w:rFonts w:cs="Arial"/>
        </w:rPr>
        <w:t>, some considerations related to them,</w:t>
      </w:r>
      <w:r w:rsidR="00936FD2">
        <w:rPr>
          <w:rFonts w:cs="Arial"/>
        </w:rPr>
        <w:t xml:space="preserve"> and to propose</w:t>
      </w:r>
      <w:r>
        <w:rPr>
          <w:rFonts w:cs="Arial"/>
        </w:rPr>
        <w:t xml:space="preserve"> policies to help guide revisions to the zoning code</w:t>
      </w:r>
      <w:r w:rsidR="005C3F49">
        <w:rPr>
          <w:rFonts w:cs="Arial"/>
        </w:rPr>
        <w:t xml:space="preserve"> if desir</w:t>
      </w:r>
      <w:r w:rsidR="000F6BB0">
        <w:rPr>
          <w:rFonts w:cs="Arial"/>
        </w:rPr>
        <w:t>able</w:t>
      </w:r>
      <w:r>
        <w:rPr>
          <w:rFonts w:cs="Arial"/>
        </w:rPr>
        <w:t>.</w:t>
      </w:r>
    </w:p>
    <w:p w:rsidR="00936FD2" w:rsidRPr="003C0817" w:rsidRDefault="00936FD2" w:rsidP="00936FD2">
      <w:pPr>
        <w:shd w:val="clear" w:color="auto" w:fill="C6D9F1" w:themeFill="text2" w:themeFillTint="33"/>
        <w:rPr>
          <w:rFonts w:cs="Arial"/>
          <w:caps/>
        </w:rPr>
      </w:pPr>
      <w:r w:rsidRPr="003C0817">
        <w:rPr>
          <w:rFonts w:cs="Arial"/>
          <w:caps/>
        </w:rPr>
        <w:t>What is a Nonconforming Use</w:t>
      </w:r>
      <w:r w:rsidR="000F6BB0">
        <w:rPr>
          <w:rFonts w:cs="Arial"/>
          <w:caps/>
        </w:rPr>
        <w:t>?</w:t>
      </w:r>
    </w:p>
    <w:p w:rsidR="00D64B25" w:rsidRDefault="00D64B25" w:rsidP="003C7A22">
      <w:r>
        <w:t xml:space="preserve">The County Zoning Code defines nonconforming use as: </w:t>
      </w:r>
    </w:p>
    <w:p w:rsidR="00D64B25" w:rsidRDefault="00D64B25" w:rsidP="00D64B25">
      <w:pPr>
        <w:ind w:left="360"/>
      </w:pPr>
      <w:proofErr w:type="gramStart"/>
      <w:r>
        <w:t>A legally established use, structure or physical improvement in existence at the time of enactment or amendment of the Zoning Code but not presently in compliance with the use regulations of the zoning district in which it is located.</w:t>
      </w:r>
      <w:proofErr w:type="gramEnd"/>
      <w:r>
        <w:t xml:space="preserve"> A use approved under criteria that have been modified or are no longer in effect is considered nonconforming.</w:t>
      </w:r>
    </w:p>
    <w:p w:rsidR="00D64B25" w:rsidRDefault="00D64B25" w:rsidP="003C7A22">
      <w:r>
        <w:t xml:space="preserve">It’s important to point out that </w:t>
      </w:r>
      <w:r w:rsidR="002264CC">
        <w:t>nonconforming use refers to</w:t>
      </w:r>
      <w:r>
        <w:t xml:space="preserve"> </w:t>
      </w:r>
      <w:r w:rsidR="002264CC">
        <w:t xml:space="preserve">a use, </w:t>
      </w:r>
      <w:r w:rsidR="00043A2C">
        <w:t xml:space="preserve">a </w:t>
      </w:r>
      <w:r w:rsidR="002264CC">
        <w:t>structure or other physical improvement. In some cases, the activity or use being conducted on the property is permitted, and therefore conforming, but the structure or ot</w:t>
      </w:r>
      <w:r w:rsidR="00E0660C">
        <w:t xml:space="preserve">her improvement to the site might not comply with current zoning regulations and standards, and is thus a nonconforming development.  </w:t>
      </w:r>
      <w:r w:rsidR="004606BA">
        <w:t xml:space="preserve">An example of a nonconforming use would be commercial business in a rural residential zone where the business is not a permitted use. </w:t>
      </w:r>
      <w:r w:rsidR="00E0660C">
        <w:t>Examples of nonconforming development</w:t>
      </w:r>
      <w:r w:rsidR="00165BC9">
        <w:t>s</w:t>
      </w:r>
      <w:r w:rsidR="00E0660C">
        <w:t xml:space="preserve"> would be </w:t>
      </w:r>
      <w:r w:rsidR="00165BC9">
        <w:t xml:space="preserve">an </w:t>
      </w:r>
      <w:r w:rsidR="00E0660C">
        <w:t>unpaved</w:t>
      </w:r>
      <w:r w:rsidR="00C827EE">
        <w:t xml:space="preserve"> </w:t>
      </w:r>
      <w:r w:rsidR="00E0660C">
        <w:t xml:space="preserve">parking lot when current standards require a hard surface and </w:t>
      </w:r>
      <w:r w:rsidR="000F6BB0">
        <w:t>a structure that doesn</w:t>
      </w:r>
      <w:r w:rsidR="00E0660C">
        <w:t>’t meet current building setback s</w:t>
      </w:r>
      <w:r w:rsidR="00C827EE">
        <w:t>tandards.  There are many cases of nonconforming developments in the rural county by virtue of the site development not meeting current zoning standards.</w:t>
      </w:r>
    </w:p>
    <w:p w:rsidR="00D25208" w:rsidRDefault="00D25208" w:rsidP="003C7A22"/>
    <w:p w:rsidR="003C0817" w:rsidRPr="003C0817" w:rsidRDefault="003C0817" w:rsidP="003C0817">
      <w:pPr>
        <w:shd w:val="clear" w:color="auto" w:fill="C6D9F1" w:themeFill="text2" w:themeFillTint="33"/>
        <w:rPr>
          <w:rFonts w:cs="Arial"/>
        </w:rPr>
      </w:pPr>
      <w:r>
        <w:rPr>
          <w:rFonts w:cs="Arial"/>
        </w:rPr>
        <w:t>ISSUES FOR CONSIDERATION</w:t>
      </w:r>
    </w:p>
    <w:p w:rsidR="00CA7CAD" w:rsidRDefault="00377E28" w:rsidP="00751189">
      <w:pPr>
        <w:rPr>
          <w:rFonts w:cs="Arial"/>
        </w:rPr>
      </w:pPr>
      <w:r>
        <w:rPr>
          <w:rFonts w:cs="Arial"/>
        </w:rPr>
        <w:lastRenderedPageBreak/>
        <w:t>1</w:t>
      </w:r>
      <w:r w:rsidR="00F827E8">
        <w:rPr>
          <w:rFonts w:cs="Arial"/>
        </w:rPr>
        <w:t>.</w:t>
      </w:r>
      <w:r w:rsidR="00F827E8">
        <w:rPr>
          <w:rFonts w:cs="Arial"/>
        </w:rPr>
        <w:tab/>
        <w:t>Setting L</w:t>
      </w:r>
      <w:r w:rsidR="00CA7CAD">
        <w:rPr>
          <w:rFonts w:cs="Arial"/>
        </w:rPr>
        <w:t>i</w:t>
      </w:r>
      <w:r w:rsidR="00F827E8">
        <w:rPr>
          <w:rFonts w:cs="Arial"/>
        </w:rPr>
        <w:t>mits on E</w:t>
      </w:r>
      <w:r w:rsidR="00CA7CAD">
        <w:rPr>
          <w:rFonts w:cs="Arial"/>
        </w:rPr>
        <w:t xml:space="preserve">xpansion </w:t>
      </w:r>
      <w:r w:rsidR="00870FC4">
        <w:rPr>
          <w:rFonts w:cs="Arial"/>
        </w:rPr>
        <w:t xml:space="preserve">of </w:t>
      </w:r>
      <w:r w:rsidR="000F6BB0">
        <w:rPr>
          <w:rFonts w:cs="Arial"/>
        </w:rPr>
        <w:t xml:space="preserve">a </w:t>
      </w:r>
      <w:r w:rsidR="00870FC4">
        <w:rPr>
          <w:rFonts w:cs="Arial"/>
        </w:rPr>
        <w:t>Nonconforming Use</w:t>
      </w:r>
    </w:p>
    <w:p w:rsidR="00317C86" w:rsidRDefault="00C827EE" w:rsidP="00751189">
      <w:r>
        <w:rPr>
          <w:rFonts w:cs="Arial"/>
        </w:rPr>
        <w:t>As currently written, the nonconforming use sectio</w:t>
      </w:r>
      <w:r w:rsidR="00575A43">
        <w:rPr>
          <w:rFonts w:cs="Arial"/>
        </w:rPr>
        <w:t xml:space="preserve">n places </w:t>
      </w:r>
      <w:r w:rsidR="003C0817">
        <w:rPr>
          <w:rFonts w:cs="Arial"/>
        </w:rPr>
        <w:t>a lot</w:t>
      </w:r>
      <w:r w:rsidR="00043A2C">
        <w:rPr>
          <w:rFonts w:cs="Arial"/>
        </w:rPr>
        <w:t xml:space="preserve"> of discretion in the hands of the planning staff in determin</w:t>
      </w:r>
      <w:r w:rsidR="002C5CF8">
        <w:rPr>
          <w:rFonts w:cs="Arial"/>
        </w:rPr>
        <w:t>ing whether or not to approve a</w:t>
      </w:r>
      <w:r w:rsidR="00043A2C">
        <w:rPr>
          <w:rFonts w:cs="Arial"/>
        </w:rPr>
        <w:t xml:space="preserve"> nonconforming use alteration</w:t>
      </w:r>
      <w:r w:rsidR="002C5CF8">
        <w:rPr>
          <w:rFonts w:cs="Arial"/>
        </w:rPr>
        <w:t>, expansion or replacement.  The guiding principles in approving the alteration are that the</w:t>
      </w:r>
      <w:r w:rsidR="002C5CF8">
        <w:t xml:space="preserve"> change in the use, structure, or physical improvement will not impose a greater adverse impact on the neighborhood, or that the alteration, expansion or replacement is required for the use to comply with State or County health or safety requirements.  The planner may authorize alteration,</w:t>
      </w:r>
      <w:r w:rsidR="00D31552">
        <w:t xml:space="preserve"> expansion or replacement of a</w:t>
      </w:r>
      <w:r w:rsidR="002C5CF8">
        <w:t xml:space="preserve"> nonconforming use when it is found that such alteration, expansion or replacement will not result in a greater adverse impact on the neighborhood.</w:t>
      </w:r>
      <w:r w:rsidR="001C41E2">
        <w:t xml:space="preserve">  </w:t>
      </w:r>
      <w:r w:rsidR="00317C86">
        <w:t xml:space="preserve">Some jurisdictions do not require a land use permit in cases </w:t>
      </w:r>
      <w:r w:rsidR="00870FC4">
        <w:t>where the expansion or alteration of a nonconforming development will</w:t>
      </w:r>
      <w:r w:rsidR="00317C86">
        <w:t xml:space="preserve"> not increase the degree of nonconformity</w:t>
      </w:r>
      <w:r w:rsidR="00B3230B">
        <w:t xml:space="preserve"> (</w:t>
      </w:r>
      <w:proofErr w:type="spellStart"/>
      <w:r w:rsidR="00B3230B">
        <w:t>ie</w:t>
      </w:r>
      <w:proofErr w:type="spellEnd"/>
      <w:r w:rsidR="00B3230B">
        <w:t>. increase the degree of a nonconforming setback).</w:t>
      </w:r>
      <w:r w:rsidR="00D31552">
        <w:t xml:space="preserve">  </w:t>
      </w:r>
    </w:p>
    <w:p w:rsidR="00660BA5" w:rsidRDefault="001C41E2" w:rsidP="00751189">
      <w:r>
        <w:t xml:space="preserve">One way to better ensure that </w:t>
      </w:r>
      <w:r w:rsidR="0070073E">
        <w:t xml:space="preserve">a </w:t>
      </w:r>
      <w:r>
        <w:t>nonco</w:t>
      </w:r>
      <w:r w:rsidR="0070073E">
        <w:t>nforming use</w:t>
      </w:r>
      <w:r w:rsidR="00870FC4">
        <w:t xml:space="preserve"> expansion</w:t>
      </w:r>
      <w:r w:rsidR="0070073E">
        <w:t xml:space="preserve"> </w:t>
      </w:r>
      <w:r w:rsidR="001006A1">
        <w:t xml:space="preserve">is reasonable </w:t>
      </w:r>
      <w:r w:rsidR="0070073E">
        <w:t xml:space="preserve">and will not </w:t>
      </w:r>
      <w:r>
        <w:t>cause adverse impact on the ne</w:t>
      </w:r>
      <w:r w:rsidR="00B3230B">
        <w:t>ighborhood i</w:t>
      </w:r>
      <w:r w:rsidR="0063273B">
        <w:t>s to set a limit on the size or area of the expansion.</w:t>
      </w:r>
      <w:r w:rsidR="0070073E">
        <w:t xml:space="preserve"> As an example, expansion of a nonconforming use could be limited to no more than 20% of the existi</w:t>
      </w:r>
      <w:r w:rsidR="00165BC9">
        <w:t>ng floor area of the</w:t>
      </w:r>
      <w:r w:rsidR="00B3230B">
        <w:t xml:space="preserve"> structure</w:t>
      </w:r>
      <w:r w:rsidR="00165BC9">
        <w:t xml:space="preserve"> where the use is located</w:t>
      </w:r>
      <w:r w:rsidR="00B3230B">
        <w:t>, or</w:t>
      </w:r>
      <w:r w:rsidR="0070073E">
        <w:t xml:space="preserve"> in those cases not involving structures, no more than 10% of the land</w:t>
      </w:r>
      <w:r w:rsidR="00D02AA6">
        <w:t xml:space="preserve"> area</w:t>
      </w:r>
      <w:r w:rsidR="00165BC9">
        <w:t xml:space="preserve"> of the use.  The</w:t>
      </w:r>
      <w:r w:rsidR="00D31552">
        <w:t xml:space="preserve"> County’s nonconforming use provisions do not establish any limitation on the size of an expansion, so conceivably a use could </w:t>
      </w:r>
      <w:r w:rsidR="00660BA5">
        <w:t xml:space="preserve">be </w:t>
      </w:r>
      <w:r w:rsidR="00D31552">
        <w:t>double</w:t>
      </w:r>
      <w:r w:rsidR="00660BA5">
        <w:t>d</w:t>
      </w:r>
      <w:r w:rsidR="00D31552">
        <w:t xml:space="preserve"> or triple</w:t>
      </w:r>
      <w:r w:rsidR="00660BA5">
        <w:t>d</w:t>
      </w:r>
      <w:r w:rsidR="00D31552">
        <w:t xml:space="preserve"> in size as long as </w:t>
      </w:r>
      <w:r w:rsidR="00660BA5">
        <w:t>a finding is made that it will not cause any greater adverse impact on the surrounding area.</w:t>
      </w:r>
    </w:p>
    <w:p w:rsidR="00317C86" w:rsidRPr="009D4242" w:rsidRDefault="00F827E8" w:rsidP="00751189">
      <w:r>
        <w:t>A nonconforming use could be restricted to a one-time expansion to prevent the use from growing incrementally over time and becoming more firmly entrenched within the neighborhood.</w:t>
      </w:r>
      <w:r w:rsidR="00317C86">
        <w:t xml:space="preserve">  </w:t>
      </w:r>
      <w:r w:rsidR="009D4242" w:rsidRPr="001E78DB">
        <w:rPr>
          <w:color w:val="000000" w:themeColor="text1"/>
        </w:rPr>
        <w:t>The code could also be revised so that a land use permit is unnecessary whenever an addition or alteration to a nonconforming use does not increase the degree of nonconformity.  An example of this would be an addition on the backside of a structure that does not meet the front yard setback standard.</w:t>
      </w:r>
    </w:p>
    <w:p w:rsidR="00CA7CAD" w:rsidRDefault="00377E28" w:rsidP="00751189">
      <w:r>
        <w:t>2</w:t>
      </w:r>
      <w:r w:rsidR="00CA7CAD">
        <w:t xml:space="preserve">. </w:t>
      </w:r>
      <w:r w:rsidR="00F827E8">
        <w:tab/>
      </w:r>
      <w:r w:rsidR="00CA7CAD">
        <w:t>Termination if Destroyed</w:t>
      </w:r>
    </w:p>
    <w:p w:rsidR="00D02AA6" w:rsidRDefault="00660BA5" w:rsidP="00751189">
      <w:r>
        <w:t>A common purpose</w:t>
      </w:r>
      <w:r w:rsidR="00D02AA6">
        <w:t xml:space="preserve"> o</w:t>
      </w:r>
      <w:r>
        <w:t>f nonconforming use zoning code standards is</w:t>
      </w:r>
      <w:r w:rsidR="00D02AA6">
        <w:t xml:space="preserve"> to eliminate the nonconforming use over time and under reasonable circumstances in order that the property can</w:t>
      </w:r>
      <w:r w:rsidR="00B3230B">
        <w:t xml:space="preserve"> ultimately</w:t>
      </w:r>
      <w:r w:rsidR="00D02AA6">
        <w:t xml:space="preserve"> be converted to a conforming use.  A typical way this is accomplished is through code provisions that prohibit reconstruction of a nonconforming use th</w:t>
      </w:r>
      <w:r w:rsidR="00CA7CAD">
        <w:t>at is damaged by any cause to the</w:t>
      </w:r>
      <w:r w:rsidR="00D02AA6">
        <w:t xml:space="preserve"> extent </w:t>
      </w:r>
      <w:r w:rsidR="00CA7CAD">
        <w:t>that</w:t>
      </w:r>
      <w:r w:rsidR="00D02AA6">
        <w:t xml:space="preserve"> reconstruction costs would equal </w:t>
      </w:r>
      <w:r w:rsidR="00CA7CAD">
        <w:t>or exceed 75% of its</w:t>
      </w:r>
      <w:r w:rsidR="00D02AA6">
        <w:t xml:space="preserve"> real market value</w:t>
      </w:r>
      <w:r w:rsidR="00CA7CAD">
        <w:t>. In such a case,</w:t>
      </w:r>
      <w:r w:rsidR="00D02AA6">
        <w:t xml:space="preserve"> the nonconforming use </w:t>
      </w:r>
      <w:r w:rsidR="00CA7CAD">
        <w:t>would be considered terminated and can</w:t>
      </w:r>
      <w:r w:rsidR="00D02AA6">
        <w:t>not be reestablished.</w:t>
      </w:r>
    </w:p>
    <w:p w:rsidR="002C5CF8" w:rsidRPr="00093127" w:rsidRDefault="005B2A00" w:rsidP="00093127">
      <w:pPr>
        <w:rPr>
          <w:color w:val="000000" w:themeColor="text1"/>
        </w:rPr>
      </w:pPr>
      <w:r w:rsidRPr="001E78DB">
        <w:rPr>
          <w:color w:val="000000" w:themeColor="text1"/>
        </w:rPr>
        <w:t xml:space="preserve">The county zoning code currently allows a </w:t>
      </w:r>
      <w:r w:rsidR="00E261A6" w:rsidRPr="001E78DB">
        <w:rPr>
          <w:color w:val="000000" w:themeColor="text1"/>
        </w:rPr>
        <w:t xml:space="preserve">nonconforming </w:t>
      </w:r>
      <w:r w:rsidRPr="001E78DB">
        <w:rPr>
          <w:color w:val="000000" w:themeColor="text1"/>
        </w:rPr>
        <w:t>use that is destroyed or significantly damaged to be reestablished subject to certain time limitations.</w:t>
      </w:r>
      <w:r w:rsidR="00E261A6" w:rsidRPr="001E78DB">
        <w:rPr>
          <w:color w:val="000000" w:themeColor="text1"/>
        </w:rPr>
        <w:t xml:space="preserve">  Zoning regulations set a one- year time limit to submit an application for repairing or replacing a nonconforming use a</w:t>
      </w:r>
      <w:r w:rsidR="00E315F0" w:rsidRPr="001E78DB">
        <w:rPr>
          <w:color w:val="000000" w:themeColor="text1"/>
        </w:rPr>
        <w:t>nd two years to restart the use, but there is nothing that prohibits a destroyed use from being reestablished.</w:t>
      </w:r>
      <w:r w:rsidR="00A429C6" w:rsidRPr="007D1C05">
        <w:rPr>
          <w:rFonts w:cs="Arial"/>
        </w:rPr>
        <w:t xml:space="preserve"> </w:t>
      </w:r>
    </w:p>
    <w:p w:rsidR="0073169E" w:rsidRDefault="00684BC1" w:rsidP="0073169E">
      <w:pPr>
        <w:shd w:val="clear" w:color="auto" w:fill="C6D9F1" w:themeFill="text2" w:themeFillTint="33"/>
        <w:rPr>
          <w:rFonts w:cs="Arial"/>
        </w:rPr>
      </w:pPr>
      <w:proofErr w:type="gramStart"/>
      <w:r>
        <w:rPr>
          <w:rFonts w:cs="Arial"/>
        </w:rPr>
        <w:lastRenderedPageBreak/>
        <w:t>DRAFT</w:t>
      </w:r>
      <w:r w:rsidR="0073169E">
        <w:rPr>
          <w:rFonts w:cs="Arial"/>
        </w:rPr>
        <w:t xml:space="preserve">  POLICIES</w:t>
      </w:r>
      <w:proofErr w:type="gramEnd"/>
    </w:p>
    <w:p w:rsidR="0073169E" w:rsidRDefault="00093127" w:rsidP="00751189">
      <w:pPr>
        <w:rPr>
          <w:rFonts w:cs="Arial"/>
        </w:rPr>
      </w:pPr>
      <w:r>
        <w:rPr>
          <w:rFonts w:cs="Arial"/>
        </w:rPr>
        <w:t>Based on the above discussion</w:t>
      </w:r>
      <w:r w:rsidR="00684BC1">
        <w:rPr>
          <w:rFonts w:cs="Arial"/>
        </w:rPr>
        <w:t xml:space="preserve"> related to nonconforming uses </w:t>
      </w:r>
      <w:r w:rsidR="007D1C05">
        <w:rPr>
          <w:rFonts w:cs="Arial"/>
        </w:rPr>
        <w:t xml:space="preserve">and nonconforming developments </w:t>
      </w:r>
      <w:r w:rsidR="00684BC1">
        <w:rPr>
          <w:rFonts w:cs="Arial"/>
        </w:rPr>
        <w:t>and the desire for some direction on these questions, staff offers the following policies for the CAC’s consideration:</w:t>
      </w:r>
    </w:p>
    <w:p w:rsidR="00120497" w:rsidRDefault="00120497" w:rsidP="00120497">
      <w:pPr>
        <w:ind w:left="360" w:hanging="360"/>
        <w:rPr>
          <w:rFonts w:cs="Arial"/>
        </w:rPr>
      </w:pPr>
      <w:r>
        <w:rPr>
          <w:rFonts w:cs="Arial"/>
        </w:rPr>
        <w:t>1.</w:t>
      </w:r>
      <w:r>
        <w:rPr>
          <w:rFonts w:cs="Arial"/>
        </w:rPr>
        <w:tab/>
      </w:r>
      <w:r w:rsidR="00324651">
        <w:rPr>
          <w:rFonts w:cs="Arial"/>
        </w:rPr>
        <w:t xml:space="preserve">The purpose of nonconforming use </w:t>
      </w:r>
      <w:r>
        <w:rPr>
          <w:rFonts w:cs="Arial"/>
        </w:rPr>
        <w:t xml:space="preserve">regulations </w:t>
      </w:r>
      <w:r w:rsidR="00324651">
        <w:rPr>
          <w:rFonts w:cs="Arial"/>
        </w:rPr>
        <w:t xml:space="preserve">should be to </w:t>
      </w:r>
      <w:r w:rsidR="00324651">
        <w:t>permit legal nonconforming u</w:t>
      </w:r>
      <w:r w:rsidR="00093127">
        <w:t>ses, structures, or physical improvements</w:t>
      </w:r>
      <w:r w:rsidR="00324651">
        <w:t xml:space="preserve"> to continue until they are</w:t>
      </w:r>
      <w:r w:rsidR="00683129">
        <w:t xml:space="preserve"> terminated or significantly damaged</w:t>
      </w:r>
      <w:r w:rsidR="00324651">
        <w:t>.</w:t>
      </w:r>
    </w:p>
    <w:p w:rsidR="00DB6F33" w:rsidRPr="00120497" w:rsidRDefault="00683129" w:rsidP="001E65FA">
      <w:pPr>
        <w:ind w:left="360" w:hanging="360"/>
        <w:rPr>
          <w:rFonts w:cs="Arial"/>
        </w:rPr>
      </w:pPr>
      <w:r>
        <w:rPr>
          <w:rFonts w:cs="Arial"/>
        </w:rPr>
        <w:t>2</w:t>
      </w:r>
      <w:r w:rsidR="00DB6F33" w:rsidRPr="00DB6F33">
        <w:rPr>
          <w:rFonts w:cs="Arial"/>
        </w:rPr>
        <w:t>.</w:t>
      </w:r>
      <w:r w:rsidR="00DB6F33" w:rsidRPr="00DB6F33">
        <w:rPr>
          <w:rFonts w:cs="Arial"/>
        </w:rPr>
        <w:tab/>
        <w:t xml:space="preserve">Zoning regulations shall provide for the continuance </w:t>
      </w:r>
      <w:r w:rsidR="001E65FA">
        <w:rPr>
          <w:rFonts w:cs="Arial"/>
        </w:rPr>
        <w:t xml:space="preserve">of </w:t>
      </w:r>
      <w:r w:rsidR="002700F7">
        <w:rPr>
          <w:rFonts w:cs="Arial"/>
        </w:rPr>
        <w:t>non</w:t>
      </w:r>
      <w:r w:rsidR="00DB6F33" w:rsidRPr="00DB6F33">
        <w:rPr>
          <w:rFonts w:cs="Arial"/>
        </w:rPr>
        <w:t>conforming uses</w:t>
      </w:r>
      <w:r w:rsidR="00DB6F33" w:rsidRPr="002700F7">
        <w:rPr>
          <w:rFonts w:cs="Arial"/>
          <w:strike/>
        </w:rPr>
        <w:t xml:space="preserve">. </w:t>
      </w:r>
      <w:r w:rsidR="001E65FA" w:rsidRPr="002700F7">
        <w:rPr>
          <w:rFonts w:cs="Arial"/>
          <w:strike/>
        </w:rPr>
        <w:t xml:space="preserve"> </w:t>
      </w:r>
      <w:r w:rsidR="00DB6F33" w:rsidRPr="001E65FA">
        <w:rPr>
          <w:rFonts w:cs="Arial"/>
          <w:strike/>
        </w:rPr>
        <w:t>They shall also allow restoration or replacement of non-conforming uses</w:t>
      </w:r>
      <w:r w:rsidR="00DB6F33" w:rsidRPr="00DB6F33">
        <w:rPr>
          <w:rFonts w:cs="Arial"/>
        </w:rPr>
        <w:t xml:space="preserve"> in accordance with Oregon Revised Statutes 215.130</w:t>
      </w:r>
      <w:r w:rsidR="00DB6F33" w:rsidRPr="001E65FA">
        <w:rPr>
          <w:rFonts w:cs="Arial"/>
          <w:strike/>
        </w:rPr>
        <w:t>(6</w:t>
      </w:r>
      <w:r w:rsidR="00DB6F33" w:rsidRPr="00120497">
        <w:rPr>
          <w:rFonts w:cs="Arial"/>
          <w:strike/>
        </w:rPr>
        <w:t>), and their alteration, expansion or replacement when such alteration, expansion or replacement would not create a greater adverse impact on the neighborhood, or are necessary for the use to comply with State or County health or safety requirements.</w:t>
      </w:r>
      <w:r w:rsidR="00BE51B8">
        <w:rPr>
          <w:rFonts w:cs="Arial"/>
        </w:rPr>
        <w:t xml:space="preserve"> </w:t>
      </w:r>
      <w:r w:rsidR="00BE51B8" w:rsidRPr="00BE51B8">
        <w:rPr>
          <w:rFonts w:cs="Arial"/>
          <w:i/>
        </w:rPr>
        <w:t>(</w:t>
      </w:r>
      <w:proofErr w:type="gramStart"/>
      <w:r w:rsidR="00BE51B8" w:rsidRPr="00BE51B8">
        <w:rPr>
          <w:rFonts w:cs="Arial"/>
          <w:i/>
        </w:rPr>
        <w:t>MCCP ,</w:t>
      </w:r>
      <w:proofErr w:type="gramEnd"/>
      <w:r w:rsidR="00BE51B8" w:rsidRPr="00BE51B8">
        <w:rPr>
          <w:rFonts w:cs="Arial"/>
          <w:i/>
        </w:rPr>
        <w:t xml:space="preserve">  Policy 1)</w:t>
      </w:r>
      <w:r w:rsidR="00120497">
        <w:rPr>
          <w:rFonts w:cs="Arial"/>
          <w:i/>
        </w:rPr>
        <w:t xml:space="preserve"> </w:t>
      </w:r>
    </w:p>
    <w:p w:rsidR="00684BC1" w:rsidRDefault="00683129" w:rsidP="00C64710">
      <w:pPr>
        <w:ind w:left="360" w:hanging="360"/>
        <w:rPr>
          <w:rFonts w:cs="Arial"/>
        </w:rPr>
      </w:pPr>
      <w:r>
        <w:rPr>
          <w:rFonts w:cs="Arial"/>
        </w:rPr>
        <w:t>3</w:t>
      </w:r>
      <w:r w:rsidR="00B3763F">
        <w:rPr>
          <w:rFonts w:cs="Arial"/>
        </w:rPr>
        <w:t>.</w:t>
      </w:r>
      <w:r w:rsidR="00B3763F">
        <w:rPr>
          <w:rFonts w:cs="Arial"/>
        </w:rPr>
        <w:tab/>
      </w:r>
      <w:r w:rsidR="00C64710">
        <w:rPr>
          <w:rFonts w:cs="Arial"/>
        </w:rPr>
        <w:t xml:space="preserve">An </w:t>
      </w:r>
      <w:r w:rsidR="00E1521C" w:rsidRPr="00F82A20">
        <w:rPr>
          <w:rFonts w:cs="Arial"/>
          <w:color w:val="000000" w:themeColor="text1"/>
        </w:rPr>
        <w:t>addition or expansion of a nonconforming use</w:t>
      </w:r>
      <w:r w:rsidR="00E1521C">
        <w:rPr>
          <w:rFonts w:cs="Arial"/>
          <w:color w:val="FF0000"/>
        </w:rPr>
        <w:t xml:space="preserve"> </w:t>
      </w:r>
      <w:r w:rsidR="00F66678">
        <w:rPr>
          <w:rFonts w:cs="Arial"/>
        </w:rPr>
        <w:t>should</w:t>
      </w:r>
      <w:r w:rsidR="00C64710">
        <w:rPr>
          <w:rFonts w:cs="Arial"/>
        </w:rPr>
        <w:t xml:space="preserve"> be limited to a </w:t>
      </w:r>
      <w:r w:rsidR="003B2E00">
        <w:rPr>
          <w:rFonts w:cs="Arial"/>
        </w:rPr>
        <w:t xml:space="preserve">percentage of the </w:t>
      </w:r>
      <w:r w:rsidR="00C64710">
        <w:rPr>
          <w:rFonts w:cs="Arial"/>
        </w:rPr>
        <w:t>structure’s</w:t>
      </w:r>
      <w:r w:rsidR="007D1C05">
        <w:rPr>
          <w:rFonts w:cs="Arial"/>
        </w:rPr>
        <w:t xml:space="preserve"> existing</w:t>
      </w:r>
      <w:r w:rsidR="00C64710">
        <w:rPr>
          <w:rFonts w:cs="Arial"/>
        </w:rPr>
        <w:t xml:space="preserve"> floor area, or </w:t>
      </w:r>
      <w:r w:rsidR="006B738B">
        <w:rPr>
          <w:rFonts w:cs="Arial"/>
        </w:rPr>
        <w:t xml:space="preserve">limited </w:t>
      </w:r>
      <w:r w:rsidR="00C64710">
        <w:rPr>
          <w:rFonts w:cs="Arial"/>
        </w:rPr>
        <w:t>to a percentage of the use’s land area when expansion does not involve a structure.</w:t>
      </w:r>
    </w:p>
    <w:p w:rsidR="006B738B" w:rsidRDefault="00683129" w:rsidP="006B738B">
      <w:pPr>
        <w:ind w:left="360" w:hanging="360"/>
        <w:rPr>
          <w:rFonts w:cs="Arial"/>
        </w:rPr>
      </w:pPr>
      <w:r>
        <w:rPr>
          <w:rFonts w:cs="Arial"/>
        </w:rPr>
        <w:t>4</w:t>
      </w:r>
      <w:r w:rsidR="006B738B">
        <w:rPr>
          <w:rFonts w:cs="Arial"/>
        </w:rPr>
        <w:t>.</w:t>
      </w:r>
      <w:r w:rsidR="006B738B">
        <w:rPr>
          <w:rFonts w:cs="Arial"/>
        </w:rPr>
        <w:tab/>
      </w:r>
      <w:r w:rsidR="00F66678">
        <w:rPr>
          <w:rFonts w:cs="Arial"/>
        </w:rPr>
        <w:t>A nonconforming use should</w:t>
      </w:r>
      <w:r w:rsidR="000527CC">
        <w:rPr>
          <w:rFonts w:cs="Arial"/>
        </w:rPr>
        <w:t xml:space="preserve"> not be allowed</w:t>
      </w:r>
      <w:r w:rsidR="00A20A8F">
        <w:rPr>
          <w:rFonts w:cs="Arial"/>
        </w:rPr>
        <w:t xml:space="preserve"> to</w:t>
      </w:r>
      <w:r w:rsidR="000527CC">
        <w:rPr>
          <w:rFonts w:cs="Arial"/>
        </w:rPr>
        <w:t xml:space="preserve"> </w:t>
      </w:r>
      <w:r w:rsidR="002700F7">
        <w:rPr>
          <w:rFonts w:cs="Arial"/>
        </w:rPr>
        <w:t>increase</w:t>
      </w:r>
      <w:r w:rsidR="00A20A8F">
        <w:rPr>
          <w:rFonts w:cs="Arial"/>
        </w:rPr>
        <w:t xml:space="preserve"> in</w:t>
      </w:r>
      <w:r w:rsidR="006B738B">
        <w:rPr>
          <w:rFonts w:cs="Arial"/>
        </w:rPr>
        <w:t xml:space="preserve"> size </w:t>
      </w:r>
      <w:r w:rsidR="00A20A8F">
        <w:rPr>
          <w:rFonts w:cs="Arial"/>
        </w:rPr>
        <w:t>more than once</w:t>
      </w:r>
      <w:r w:rsidR="006B738B">
        <w:rPr>
          <w:rFonts w:cs="Arial"/>
        </w:rPr>
        <w:t>.</w:t>
      </w:r>
    </w:p>
    <w:p w:rsidR="000527CC" w:rsidRDefault="00683129" w:rsidP="006B738B">
      <w:pPr>
        <w:ind w:left="360" w:hanging="360"/>
      </w:pPr>
      <w:r>
        <w:rPr>
          <w:rFonts w:cs="Arial"/>
        </w:rPr>
        <w:t>5</w:t>
      </w:r>
      <w:r w:rsidR="006B738B">
        <w:rPr>
          <w:rFonts w:cs="Arial"/>
        </w:rPr>
        <w:t>.</w:t>
      </w:r>
      <w:r w:rsidR="006B738B">
        <w:rPr>
          <w:rFonts w:cs="Arial"/>
        </w:rPr>
        <w:tab/>
      </w:r>
      <w:r w:rsidR="00E1521C" w:rsidRPr="002700F7">
        <w:rPr>
          <w:rFonts w:cs="Arial"/>
          <w:color w:val="000000" w:themeColor="text1"/>
        </w:rPr>
        <w:t>If</w:t>
      </w:r>
      <w:r w:rsidR="00C64710" w:rsidRPr="002700F7">
        <w:rPr>
          <w:rFonts w:cs="Arial"/>
          <w:color w:val="000000" w:themeColor="text1"/>
        </w:rPr>
        <w:t xml:space="preserve"> </w:t>
      </w:r>
      <w:r w:rsidR="00E1521C" w:rsidRPr="002700F7">
        <w:rPr>
          <w:rFonts w:cs="Arial"/>
          <w:color w:val="000000" w:themeColor="text1"/>
        </w:rPr>
        <w:t>a</w:t>
      </w:r>
      <w:r w:rsidR="002700F7">
        <w:rPr>
          <w:rFonts w:cs="Arial"/>
        </w:rPr>
        <w:t xml:space="preserve"> nonconforming </w:t>
      </w:r>
      <w:r w:rsidR="000527CC">
        <w:rPr>
          <w:rFonts w:cs="Arial"/>
        </w:rPr>
        <w:t xml:space="preserve">use </w:t>
      </w:r>
      <w:r w:rsidR="000527CC">
        <w:t xml:space="preserve">is </w:t>
      </w:r>
      <w:r>
        <w:t xml:space="preserve">significantly </w:t>
      </w:r>
      <w:r w:rsidR="000527CC">
        <w:t xml:space="preserve">damaged </w:t>
      </w:r>
      <w:r w:rsidR="00E1521C" w:rsidRPr="002700F7">
        <w:rPr>
          <w:color w:val="000000" w:themeColor="text1"/>
        </w:rPr>
        <w:t xml:space="preserve">or destroyed by fire, other casualty or natural disaster, the use </w:t>
      </w:r>
      <w:r w:rsidR="00F66678">
        <w:t>should</w:t>
      </w:r>
      <w:r w:rsidR="000527CC">
        <w:t xml:space="preserve"> be</w:t>
      </w:r>
      <w:r w:rsidR="00FE7C4A">
        <w:t xml:space="preserve"> considered terminated and should</w:t>
      </w:r>
      <w:r w:rsidR="000527CC">
        <w:t xml:space="preserve"> not be </w:t>
      </w:r>
      <w:r w:rsidR="00FE7C4A">
        <w:t xml:space="preserve">allowed to be </w:t>
      </w:r>
      <w:r w:rsidR="000527CC">
        <w:t>reestablished.</w:t>
      </w:r>
    </w:p>
    <w:p w:rsidR="00684BC1" w:rsidRDefault="00684BC1" w:rsidP="00751189">
      <w:pPr>
        <w:rPr>
          <w:rFonts w:cs="Arial"/>
        </w:rPr>
      </w:pPr>
    </w:p>
    <w:p w:rsidR="0073169E" w:rsidRDefault="0073169E" w:rsidP="00751189">
      <w:pPr>
        <w:rPr>
          <w:rFonts w:cs="Arial"/>
        </w:rPr>
      </w:pPr>
    </w:p>
    <w:p w:rsidR="0073169E" w:rsidRDefault="0073169E" w:rsidP="00751189">
      <w:pPr>
        <w:rPr>
          <w:rFonts w:cs="Arial"/>
        </w:rPr>
      </w:pPr>
    </w:p>
    <w:sectPr w:rsidR="0073169E" w:rsidSect="00D25208">
      <w:footerReference w:type="default" r:id="rId8"/>
      <w:headerReference w:type="first" r:id="rId9"/>
      <w:footerReference w:type="first" r:id="rId10"/>
      <w:pgSz w:w="12240" w:h="15840" w:code="1"/>
      <w:pgMar w:top="1440" w:right="1440" w:bottom="1440" w:left="1440" w:header="720" w:footer="864" w:gutter="0"/>
      <w:cols w:space="720"/>
      <w:noEndnote/>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E01F010"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2A20" w:rsidRDefault="00F82A20" w:rsidP="00F9165A">
      <w:pPr>
        <w:spacing w:after="0" w:line="240" w:lineRule="auto"/>
      </w:pPr>
      <w:r>
        <w:separator/>
      </w:r>
    </w:p>
  </w:endnote>
  <w:endnote w:type="continuationSeparator" w:id="0">
    <w:p w:rsidR="00F82A20" w:rsidRDefault="00F82A20" w:rsidP="00F916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8267657"/>
      <w:docPartObj>
        <w:docPartGallery w:val="Page Numbers (Bottom of Page)"/>
        <w:docPartUnique/>
      </w:docPartObj>
    </w:sdtPr>
    <w:sdtEndPr>
      <w:rPr>
        <w:rFonts w:asciiTheme="minorHAnsi" w:hAnsiTheme="minorHAnsi"/>
        <w:caps w:val="0"/>
        <w:noProof/>
        <w:color w:val="auto"/>
        <w:spacing w:val="0"/>
        <w:sz w:val="20"/>
        <w:szCs w:val="20"/>
      </w:rPr>
    </w:sdtEndPr>
    <w:sdtContent>
      <w:p w:rsidR="00F82A20" w:rsidRDefault="00F82A20" w:rsidP="00F82A20">
        <w:pPr>
          <w:pStyle w:val="Subtitle"/>
          <w:spacing w:before="0" w:after="0"/>
        </w:pPr>
        <w:r w:rsidRPr="00D25208">
          <w:rPr>
            <w:rFonts w:asciiTheme="minorHAnsi" w:hAnsiTheme="minorHAnsi"/>
            <w:caps w:val="0"/>
            <w:color w:val="000000" w:themeColor="text1"/>
            <w:sz w:val="20"/>
            <w:szCs w:val="20"/>
          </w:rPr>
          <w:t>Nonconforming Use Memo</w:t>
        </w:r>
        <w:r w:rsidRPr="00D25208">
          <w:rPr>
            <w:rFonts w:asciiTheme="minorHAnsi" w:hAnsiTheme="minorHAnsi"/>
            <w:i/>
            <w:color w:val="000000" w:themeColor="text1"/>
            <w:sz w:val="20"/>
            <w:szCs w:val="20"/>
          </w:rPr>
          <w:ptab w:relativeTo="margin" w:alignment="right" w:leader="none"/>
        </w:r>
        <w:r w:rsidRPr="00D25208">
          <w:rPr>
            <w:rFonts w:asciiTheme="minorHAnsi" w:hAnsiTheme="minorHAnsi"/>
            <w:color w:val="000000" w:themeColor="text1"/>
            <w:sz w:val="20"/>
            <w:szCs w:val="20"/>
          </w:rPr>
          <w:t xml:space="preserve"> P</w:t>
        </w:r>
        <w:r w:rsidRPr="00D25208">
          <w:rPr>
            <w:rFonts w:asciiTheme="minorHAnsi" w:hAnsiTheme="minorHAnsi"/>
            <w:noProof/>
            <w:color w:val="000000" w:themeColor="text1"/>
            <w:sz w:val="20"/>
            <w:szCs w:val="20"/>
          </w:rPr>
          <w:t xml:space="preserve">age </w:t>
        </w:r>
        <w:r w:rsidRPr="00D25208">
          <w:rPr>
            <w:rFonts w:asciiTheme="minorHAnsi" w:hAnsiTheme="minorHAnsi"/>
            <w:noProof/>
            <w:color w:val="000000" w:themeColor="text1"/>
            <w:sz w:val="20"/>
            <w:szCs w:val="20"/>
          </w:rPr>
          <w:fldChar w:fldCharType="begin"/>
        </w:r>
        <w:r w:rsidRPr="00D25208">
          <w:rPr>
            <w:rFonts w:asciiTheme="minorHAnsi" w:hAnsiTheme="minorHAnsi"/>
            <w:noProof/>
            <w:color w:val="000000" w:themeColor="text1"/>
            <w:sz w:val="20"/>
            <w:szCs w:val="20"/>
          </w:rPr>
          <w:instrText xml:space="preserve"> PAGE  \* Arabic  \* MERGEFORMAT </w:instrText>
        </w:r>
        <w:r w:rsidRPr="00D25208">
          <w:rPr>
            <w:rFonts w:asciiTheme="minorHAnsi" w:hAnsiTheme="minorHAnsi"/>
            <w:noProof/>
            <w:color w:val="000000" w:themeColor="text1"/>
            <w:sz w:val="20"/>
            <w:szCs w:val="20"/>
          </w:rPr>
          <w:fldChar w:fldCharType="separate"/>
        </w:r>
        <w:r w:rsidR="00D25208">
          <w:rPr>
            <w:rFonts w:asciiTheme="minorHAnsi" w:hAnsiTheme="minorHAnsi"/>
            <w:noProof/>
            <w:color w:val="000000" w:themeColor="text1"/>
            <w:sz w:val="20"/>
            <w:szCs w:val="20"/>
          </w:rPr>
          <w:t>1</w:t>
        </w:r>
        <w:r w:rsidRPr="00D25208">
          <w:rPr>
            <w:rFonts w:asciiTheme="minorHAnsi" w:hAnsiTheme="minorHAnsi"/>
            <w:noProof/>
            <w:color w:val="000000" w:themeColor="text1"/>
            <w:sz w:val="20"/>
            <w:szCs w:val="20"/>
          </w:rPr>
          <w:fldChar w:fldCharType="end"/>
        </w:r>
        <w:r w:rsidRPr="00D25208">
          <w:rPr>
            <w:rFonts w:asciiTheme="minorHAnsi" w:hAnsiTheme="minorHAnsi"/>
            <w:noProof/>
            <w:color w:val="000000" w:themeColor="text1"/>
            <w:sz w:val="20"/>
            <w:szCs w:val="20"/>
          </w:rPr>
          <w:t xml:space="preserve"> of </w:t>
        </w:r>
        <w:fldSimple w:instr=" NUMPAGES  \* Arabic  \* MERGEFORMAT ">
          <w:r w:rsidR="00D25208" w:rsidRPr="00D25208">
            <w:rPr>
              <w:rFonts w:asciiTheme="minorHAnsi" w:hAnsiTheme="minorHAnsi"/>
              <w:noProof/>
              <w:sz w:val="20"/>
              <w:szCs w:val="20"/>
            </w:rPr>
            <w:t>3</w:t>
          </w:r>
        </w:fldSimple>
      </w:p>
      <w:p w:rsidR="00F82A20" w:rsidRPr="00D25208" w:rsidRDefault="00D25208" w:rsidP="00F82A20">
        <w:pPr>
          <w:spacing w:before="0" w:after="0" w:line="240" w:lineRule="auto"/>
          <w:rPr>
            <w:rFonts w:asciiTheme="minorHAnsi" w:hAnsiTheme="minorHAnsi"/>
            <w:noProof/>
            <w:sz w:val="20"/>
          </w:rPr>
        </w:pPr>
        <w:r>
          <w:rPr>
            <w:rFonts w:ascii="Calibri" w:hAnsi="Calibri"/>
            <w:noProof/>
            <w:sz w:val="20"/>
          </w:rPr>
          <w:t>June 17, 215 Land Use Subcommittee Meeting</w: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A20" w:rsidRPr="00F4371C" w:rsidRDefault="00F82A20" w:rsidP="00F4371C">
    <w:pPr>
      <w:pStyle w:val="Subtitle"/>
      <w:jc w:val="right"/>
    </w:pPr>
    <w:sdt>
      <w:sdtPr>
        <w:id w:val="632837404"/>
        <w:docPartObj>
          <w:docPartGallery w:val="Page Numbers (Bottom of Page)"/>
          <w:docPartUnique/>
        </w:docPartObj>
      </w:sdtPr>
      <w:sdtEndPr>
        <w:rPr>
          <w:noProof/>
        </w:rPr>
      </w:sdtEndPr>
      <w:sdtContent>
        <w:r w:rsidRPr="002627F8">
          <w:t>P</w:t>
        </w:r>
        <w:r w:rsidRPr="002627F8">
          <w:rPr>
            <w:noProof/>
          </w:rPr>
          <w:t xml:space="preserve">age </w:t>
        </w:r>
        <w:r w:rsidRPr="002627F8">
          <w:rPr>
            <w:noProof/>
          </w:rPr>
          <w:fldChar w:fldCharType="begin"/>
        </w:r>
        <w:r w:rsidRPr="002627F8">
          <w:rPr>
            <w:noProof/>
          </w:rPr>
          <w:instrText xml:space="preserve"> PAGE  \* Arabic  \* MERGEFORMAT </w:instrText>
        </w:r>
        <w:r w:rsidRPr="002627F8">
          <w:rPr>
            <w:noProof/>
          </w:rPr>
          <w:fldChar w:fldCharType="separate"/>
        </w:r>
        <w:r w:rsidR="00D25208">
          <w:rPr>
            <w:noProof/>
          </w:rPr>
          <w:t>1</w:t>
        </w:r>
        <w:r w:rsidRPr="002627F8">
          <w:rPr>
            <w:noProof/>
          </w:rPr>
          <w:fldChar w:fldCharType="end"/>
        </w:r>
        <w:r w:rsidRPr="002627F8">
          <w:rPr>
            <w:noProof/>
          </w:rPr>
          <w:t xml:space="preserve"> of </w:t>
        </w:r>
        <w:fldSimple w:instr=" NUMPAGES  \* Arabic  \* MERGEFORMAT ">
          <w:r w:rsidR="00D25208">
            <w:rPr>
              <w:noProof/>
            </w:rPr>
            <w:t>3</w:t>
          </w:r>
        </w:fldSimple>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2A20" w:rsidRDefault="00F82A20" w:rsidP="00F9165A">
      <w:pPr>
        <w:spacing w:after="0" w:line="240" w:lineRule="auto"/>
      </w:pPr>
      <w:r>
        <w:separator/>
      </w:r>
    </w:p>
  </w:footnote>
  <w:footnote w:type="continuationSeparator" w:id="0">
    <w:p w:rsidR="00F82A20" w:rsidRDefault="00F82A20" w:rsidP="00F9165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A20" w:rsidRDefault="00F82A20" w:rsidP="00132DCB">
    <w:pPr>
      <w:pStyle w:val="Title"/>
    </w:pPr>
    <w:sdt>
      <w:sdtPr>
        <w:id w:val="7745543"/>
        <w:docPartObj>
          <w:docPartGallery w:val="Watermarks"/>
          <w:docPartUnique/>
        </w:docPartObj>
      </w:sdtPr>
      <w:sdtContent>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31745"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Pr>
        <w:noProof/>
      </w:rPr>
      <w:drawing>
        <wp:anchor distT="0" distB="0" distL="114300" distR="114300" simplePos="0" relativeHeight="251657216" behindDoc="1" locked="0" layoutInCell="1" allowOverlap="1">
          <wp:simplePos x="0" y="0"/>
          <wp:positionH relativeFrom="column">
            <wp:posOffset>3786505</wp:posOffset>
          </wp:positionH>
          <wp:positionV relativeFrom="paragraph">
            <wp:posOffset>-77865</wp:posOffset>
          </wp:positionV>
          <wp:extent cx="2225615" cy="1088468"/>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_APG-01.pn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225615" cy="1088468"/>
                  </a:xfrm>
                  <a:prstGeom prst="rect">
                    <a:avLst/>
                  </a:prstGeom>
                </pic:spPr>
              </pic:pic>
            </a:graphicData>
          </a:graphic>
        </wp:anchor>
      </w:drawing>
    </w:r>
    <w:r>
      <w:t>Memorandum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5C0165C"/>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DDC45466"/>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F3106F4A"/>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C8227AF2"/>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4E1287A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6C842C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C86EF7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D5ADB3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A54BEE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8746468"/>
    <w:lvl w:ilvl="0">
      <w:start w:val="1"/>
      <w:numFmt w:val="bullet"/>
      <w:lvlText w:val=""/>
      <w:lvlJc w:val="left"/>
      <w:pPr>
        <w:tabs>
          <w:tab w:val="num" w:pos="360"/>
        </w:tabs>
        <w:ind w:left="360" w:hanging="360"/>
      </w:pPr>
      <w:rPr>
        <w:rFonts w:ascii="Symbol" w:hAnsi="Symbol" w:hint="default"/>
      </w:rPr>
    </w:lvl>
  </w:abstractNum>
  <w:abstractNum w:abstractNumId="10">
    <w:nsid w:val="01112938"/>
    <w:multiLevelType w:val="hybridMultilevel"/>
    <w:tmpl w:val="9E9E9F4C"/>
    <w:lvl w:ilvl="0" w:tplc="8A7C5BF0">
      <w:start w:val="1"/>
      <w:numFmt w:val="lowerLetter"/>
      <w:lvlText w:val="%1."/>
      <w:lvlJc w:val="left"/>
      <w:pPr>
        <w:ind w:left="1080" w:hanging="360"/>
      </w:pPr>
      <w:rPr>
        <w:rFonts w:cs="Times New Roman"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09C203FE"/>
    <w:multiLevelType w:val="hybridMultilevel"/>
    <w:tmpl w:val="B5E6C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E905241"/>
    <w:multiLevelType w:val="hybridMultilevel"/>
    <w:tmpl w:val="B724810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23B1B9F"/>
    <w:multiLevelType w:val="hybridMultilevel"/>
    <w:tmpl w:val="C6E6F00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193A7ABD"/>
    <w:multiLevelType w:val="hybridMultilevel"/>
    <w:tmpl w:val="E3000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AC52617"/>
    <w:multiLevelType w:val="hybridMultilevel"/>
    <w:tmpl w:val="2D021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BAE17AF"/>
    <w:multiLevelType w:val="hybridMultilevel"/>
    <w:tmpl w:val="7DBC2EB8"/>
    <w:lvl w:ilvl="0" w:tplc="987E95E4">
      <w:start w:val="1"/>
      <w:numFmt w:val="bullet"/>
      <w:lvlText w:val="­"/>
      <w:lvlJc w:val="left"/>
      <w:pPr>
        <w:tabs>
          <w:tab w:val="num" w:pos="1800"/>
        </w:tabs>
        <w:ind w:left="1800" w:hanging="360"/>
      </w:pPr>
      <w:rPr>
        <w:rFonts w:ascii="Courier New" w:hAnsi="Courier New"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7">
    <w:nsid w:val="282D0CD8"/>
    <w:multiLevelType w:val="hybridMultilevel"/>
    <w:tmpl w:val="0C020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9C93988"/>
    <w:multiLevelType w:val="hybridMultilevel"/>
    <w:tmpl w:val="C71031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2FF9218F"/>
    <w:multiLevelType w:val="hybridMultilevel"/>
    <w:tmpl w:val="340871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0666E21"/>
    <w:multiLevelType w:val="hybridMultilevel"/>
    <w:tmpl w:val="67B28AE4"/>
    <w:lvl w:ilvl="0" w:tplc="8A7C5BF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
    <w:nsid w:val="348F097F"/>
    <w:multiLevelType w:val="hybridMultilevel"/>
    <w:tmpl w:val="092632A6"/>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2">
    <w:nsid w:val="377E210F"/>
    <w:multiLevelType w:val="hybridMultilevel"/>
    <w:tmpl w:val="E9FE5904"/>
    <w:lvl w:ilvl="0" w:tplc="974A6FBE">
      <w:numFmt w:val="bullet"/>
      <w:lvlText w:val=""/>
      <w:lvlJc w:val="left"/>
      <w:pPr>
        <w:tabs>
          <w:tab w:val="num" w:pos="1080"/>
        </w:tabs>
        <w:ind w:left="1080" w:hanging="360"/>
      </w:pPr>
      <w:rPr>
        <w:rFonts w:ascii="Symbol" w:eastAsia="Times New Roman" w:hAnsi="Symbol" w:hint="default"/>
        <w:i w:val="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381E066E"/>
    <w:multiLevelType w:val="hybridMultilevel"/>
    <w:tmpl w:val="67B28AE4"/>
    <w:lvl w:ilvl="0" w:tplc="8A7C5BF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4">
    <w:nsid w:val="3A28529E"/>
    <w:multiLevelType w:val="multilevel"/>
    <w:tmpl w:val="8AC41506"/>
    <w:lvl w:ilvl="0">
      <w:start w:val="1"/>
      <w:numFmt w:val="bullet"/>
      <w:lvlText w:val="­"/>
      <w:lvlJc w:val="left"/>
      <w:pPr>
        <w:tabs>
          <w:tab w:val="num" w:pos="1080"/>
        </w:tabs>
        <w:ind w:left="1080" w:hanging="360"/>
      </w:pPr>
      <w:rPr>
        <w:rFonts w:ascii="Courier New" w:hAnsi="Courier New"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5">
    <w:nsid w:val="3C0F3BDF"/>
    <w:multiLevelType w:val="hybridMultilevel"/>
    <w:tmpl w:val="35B60954"/>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6">
    <w:nsid w:val="3EEA4FD7"/>
    <w:multiLevelType w:val="hybridMultilevel"/>
    <w:tmpl w:val="6EEE08E6"/>
    <w:lvl w:ilvl="0" w:tplc="987E95E4">
      <w:start w:val="1"/>
      <w:numFmt w:val="bullet"/>
      <w:lvlText w:val="­"/>
      <w:lvlJc w:val="left"/>
      <w:pPr>
        <w:tabs>
          <w:tab w:val="num" w:pos="1800"/>
        </w:tabs>
        <w:ind w:left="1800" w:hanging="360"/>
      </w:pPr>
      <w:rPr>
        <w:rFonts w:ascii="Courier New" w:hAnsi="Courier New"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46810B4B"/>
    <w:multiLevelType w:val="hybridMultilevel"/>
    <w:tmpl w:val="2966BC3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4D92297E"/>
    <w:multiLevelType w:val="hybridMultilevel"/>
    <w:tmpl w:val="0B369B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71C1648"/>
    <w:multiLevelType w:val="hybridMultilevel"/>
    <w:tmpl w:val="14B24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38C351F"/>
    <w:multiLevelType w:val="hybridMultilevel"/>
    <w:tmpl w:val="3D6EF9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B3E09F6"/>
    <w:multiLevelType w:val="hybridMultilevel"/>
    <w:tmpl w:val="A63AAA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16C190C"/>
    <w:multiLevelType w:val="hybridMultilevel"/>
    <w:tmpl w:val="3C8AF9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1715365"/>
    <w:multiLevelType w:val="multilevel"/>
    <w:tmpl w:val="1D580168"/>
    <w:lvl w:ilvl="0">
      <w:start w:val="9"/>
      <w:numFmt w:val="decimal"/>
      <w:lvlText w:val="%1"/>
      <w:lvlJc w:val="left"/>
      <w:pPr>
        <w:tabs>
          <w:tab w:val="num" w:pos="360"/>
        </w:tabs>
        <w:ind w:left="360" w:hanging="360"/>
      </w:pPr>
      <w:rPr>
        <w:rFonts w:cs="Arial" w:hint="default"/>
      </w:rPr>
    </w:lvl>
    <w:lvl w:ilvl="1">
      <w:start w:val="7"/>
      <w:numFmt w:val="decimal"/>
      <w:lvlText w:val="%1.%2"/>
      <w:lvlJc w:val="left"/>
      <w:pPr>
        <w:tabs>
          <w:tab w:val="num" w:pos="520"/>
        </w:tabs>
        <w:ind w:left="520" w:hanging="360"/>
      </w:pPr>
      <w:rPr>
        <w:rFonts w:cs="Arial" w:hint="default"/>
      </w:rPr>
    </w:lvl>
    <w:lvl w:ilvl="2">
      <w:start w:val="1"/>
      <w:numFmt w:val="lowerRoman"/>
      <w:lvlText w:val="%1.%2.%3"/>
      <w:lvlJc w:val="left"/>
      <w:pPr>
        <w:tabs>
          <w:tab w:val="num" w:pos="1400"/>
        </w:tabs>
        <w:ind w:left="1400" w:hanging="1080"/>
      </w:pPr>
      <w:rPr>
        <w:rFonts w:cs="Arial" w:hint="default"/>
      </w:rPr>
    </w:lvl>
    <w:lvl w:ilvl="3">
      <w:start w:val="1"/>
      <w:numFmt w:val="decimal"/>
      <w:lvlText w:val="%1.%2.%3.%4"/>
      <w:lvlJc w:val="left"/>
      <w:pPr>
        <w:tabs>
          <w:tab w:val="num" w:pos="1200"/>
        </w:tabs>
        <w:ind w:left="1200" w:hanging="720"/>
      </w:pPr>
      <w:rPr>
        <w:rFonts w:cs="Arial" w:hint="default"/>
      </w:rPr>
    </w:lvl>
    <w:lvl w:ilvl="4">
      <w:start w:val="1"/>
      <w:numFmt w:val="decimal"/>
      <w:lvlText w:val="%1.%2.%3.%4.%5"/>
      <w:lvlJc w:val="left"/>
      <w:pPr>
        <w:tabs>
          <w:tab w:val="num" w:pos="1720"/>
        </w:tabs>
        <w:ind w:left="1720" w:hanging="1080"/>
      </w:pPr>
      <w:rPr>
        <w:rFonts w:cs="Arial" w:hint="default"/>
      </w:rPr>
    </w:lvl>
    <w:lvl w:ilvl="5">
      <w:start w:val="1"/>
      <w:numFmt w:val="decimal"/>
      <w:lvlText w:val="%1.%2.%3.%4.%5.%6"/>
      <w:lvlJc w:val="left"/>
      <w:pPr>
        <w:tabs>
          <w:tab w:val="num" w:pos="1880"/>
        </w:tabs>
        <w:ind w:left="1880" w:hanging="1080"/>
      </w:pPr>
      <w:rPr>
        <w:rFonts w:cs="Arial" w:hint="default"/>
      </w:rPr>
    </w:lvl>
    <w:lvl w:ilvl="6">
      <w:start w:val="1"/>
      <w:numFmt w:val="decimal"/>
      <w:lvlText w:val="%1.%2.%3.%4.%5.%6.%7"/>
      <w:lvlJc w:val="left"/>
      <w:pPr>
        <w:tabs>
          <w:tab w:val="num" w:pos="2400"/>
        </w:tabs>
        <w:ind w:left="2400" w:hanging="1440"/>
      </w:pPr>
      <w:rPr>
        <w:rFonts w:cs="Arial" w:hint="default"/>
      </w:rPr>
    </w:lvl>
    <w:lvl w:ilvl="7">
      <w:start w:val="1"/>
      <w:numFmt w:val="decimal"/>
      <w:lvlText w:val="%1.%2.%3.%4.%5.%6.%7.%8"/>
      <w:lvlJc w:val="left"/>
      <w:pPr>
        <w:tabs>
          <w:tab w:val="num" w:pos="2560"/>
        </w:tabs>
        <w:ind w:left="2560" w:hanging="1440"/>
      </w:pPr>
      <w:rPr>
        <w:rFonts w:cs="Arial" w:hint="default"/>
      </w:rPr>
    </w:lvl>
    <w:lvl w:ilvl="8">
      <w:start w:val="1"/>
      <w:numFmt w:val="decimal"/>
      <w:lvlText w:val="%1.%2.%3.%4.%5.%6.%7.%8.%9"/>
      <w:lvlJc w:val="left"/>
      <w:pPr>
        <w:tabs>
          <w:tab w:val="num" w:pos="3080"/>
        </w:tabs>
        <w:ind w:left="3080" w:hanging="1800"/>
      </w:pPr>
      <w:rPr>
        <w:rFonts w:cs="Arial" w:hint="default"/>
      </w:rPr>
    </w:lvl>
  </w:abstractNum>
  <w:abstractNum w:abstractNumId="34">
    <w:nsid w:val="74F65572"/>
    <w:multiLevelType w:val="hybridMultilevel"/>
    <w:tmpl w:val="8AC41506"/>
    <w:lvl w:ilvl="0" w:tplc="987E95E4">
      <w:start w:val="1"/>
      <w:numFmt w:val="bullet"/>
      <w:lvlText w:val="­"/>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nsid w:val="75EC2BEE"/>
    <w:multiLevelType w:val="hybridMultilevel"/>
    <w:tmpl w:val="04B4E7E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7654460D"/>
    <w:multiLevelType w:val="hybridMultilevel"/>
    <w:tmpl w:val="47723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B4D1E47"/>
    <w:multiLevelType w:val="hybridMultilevel"/>
    <w:tmpl w:val="9EF6E2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0"/>
  </w:num>
  <w:num w:numId="2">
    <w:abstractNumId w:val="10"/>
  </w:num>
  <w:num w:numId="3">
    <w:abstractNumId w:val="37"/>
  </w:num>
  <w:num w:numId="4">
    <w:abstractNumId w:val="23"/>
  </w:num>
  <w:num w:numId="5">
    <w:abstractNumId w:val="19"/>
  </w:num>
  <w:num w:numId="6">
    <w:abstractNumId w:val="26"/>
  </w:num>
  <w:num w:numId="7">
    <w:abstractNumId w:val="16"/>
  </w:num>
  <w:num w:numId="8">
    <w:abstractNumId w:val="30"/>
  </w:num>
  <w:num w:numId="9">
    <w:abstractNumId w:val="33"/>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1"/>
  </w:num>
  <w:num w:numId="21">
    <w:abstractNumId w:val="25"/>
  </w:num>
  <w:num w:numId="22">
    <w:abstractNumId w:val="34"/>
  </w:num>
  <w:num w:numId="23">
    <w:abstractNumId w:val="24"/>
  </w:num>
  <w:num w:numId="24">
    <w:abstractNumId w:val="22"/>
  </w:num>
  <w:num w:numId="25">
    <w:abstractNumId w:val="18"/>
  </w:num>
  <w:num w:numId="26">
    <w:abstractNumId w:val="12"/>
  </w:num>
  <w:num w:numId="27">
    <w:abstractNumId w:val="28"/>
  </w:num>
  <w:num w:numId="28">
    <w:abstractNumId w:val="35"/>
  </w:num>
  <w:num w:numId="29">
    <w:abstractNumId w:val="13"/>
  </w:num>
  <w:num w:numId="30">
    <w:abstractNumId w:val="31"/>
  </w:num>
  <w:num w:numId="31">
    <w:abstractNumId w:val="32"/>
  </w:num>
  <w:num w:numId="32">
    <w:abstractNumId w:val="27"/>
  </w:num>
  <w:num w:numId="33">
    <w:abstractNumId w:val="14"/>
  </w:num>
  <w:num w:numId="34">
    <w:abstractNumId w:val="11"/>
  </w:num>
  <w:num w:numId="35">
    <w:abstractNumId w:val="29"/>
  </w:num>
  <w:num w:numId="36">
    <w:abstractNumId w:val="15"/>
  </w:num>
  <w:num w:numId="37">
    <w:abstractNumId w:val="36"/>
  </w:num>
  <w:num w:numId="38">
    <w:abstractNumId w:val="17"/>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tt Hastie">
    <w15:presenceInfo w15:providerId="AD" w15:userId="S-1-5-21-1950819584-679843855-474430315-114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5224"/>
  <w:stylePaneSortMethod w:val="0000"/>
  <w:defaultTabStop w:val="720"/>
  <w:drawingGridHorizontalSpacing w:val="110"/>
  <w:displayHorizontalDrawingGridEvery w:val="2"/>
  <w:characterSpacingControl w:val="doNotCompress"/>
  <w:hdrShapeDefaults>
    <o:shapedefaults v:ext="edit" spidmax="31746"/>
    <o:shapelayout v:ext="edit">
      <o:idmap v:ext="edit" data="31"/>
    </o:shapelayout>
  </w:hdrShapeDefaults>
  <w:footnotePr>
    <w:footnote w:id="-1"/>
    <w:footnote w:id="0"/>
  </w:footnotePr>
  <w:endnotePr>
    <w:endnote w:id="-1"/>
    <w:endnote w:id="0"/>
  </w:endnotePr>
  <w:compat>
    <w:useFELayout/>
  </w:compat>
  <w:rsids>
    <w:rsidRoot w:val="005C47A4"/>
    <w:rsid w:val="000110D5"/>
    <w:rsid w:val="000125C0"/>
    <w:rsid w:val="00013552"/>
    <w:rsid w:val="00015359"/>
    <w:rsid w:val="00017402"/>
    <w:rsid w:val="00020250"/>
    <w:rsid w:val="0002474C"/>
    <w:rsid w:val="0002481E"/>
    <w:rsid w:val="0003055A"/>
    <w:rsid w:val="00030E7A"/>
    <w:rsid w:val="000327D9"/>
    <w:rsid w:val="00037316"/>
    <w:rsid w:val="0004145D"/>
    <w:rsid w:val="00043A2C"/>
    <w:rsid w:val="000442DB"/>
    <w:rsid w:val="0004436E"/>
    <w:rsid w:val="0004666E"/>
    <w:rsid w:val="00046B59"/>
    <w:rsid w:val="000516E7"/>
    <w:rsid w:val="00051D83"/>
    <w:rsid w:val="0005252A"/>
    <w:rsid w:val="000527CC"/>
    <w:rsid w:val="0005533F"/>
    <w:rsid w:val="00056B90"/>
    <w:rsid w:val="000578A9"/>
    <w:rsid w:val="00060FCB"/>
    <w:rsid w:val="000675EC"/>
    <w:rsid w:val="00071CCA"/>
    <w:rsid w:val="000770B8"/>
    <w:rsid w:val="0007798E"/>
    <w:rsid w:val="000827D6"/>
    <w:rsid w:val="00087C48"/>
    <w:rsid w:val="00092F93"/>
    <w:rsid w:val="00093127"/>
    <w:rsid w:val="00095847"/>
    <w:rsid w:val="00095A53"/>
    <w:rsid w:val="000A28A2"/>
    <w:rsid w:val="000B0497"/>
    <w:rsid w:val="000B716E"/>
    <w:rsid w:val="000B7AB2"/>
    <w:rsid w:val="000C1BD8"/>
    <w:rsid w:val="000C46B3"/>
    <w:rsid w:val="000C5A1B"/>
    <w:rsid w:val="000D1298"/>
    <w:rsid w:val="000E6A9D"/>
    <w:rsid w:val="000F2116"/>
    <w:rsid w:val="000F3251"/>
    <w:rsid w:val="000F52DD"/>
    <w:rsid w:val="000F6BB0"/>
    <w:rsid w:val="001006A1"/>
    <w:rsid w:val="00101631"/>
    <w:rsid w:val="0011445E"/>
    <w:rsid w:val="00115FDF"/>
    <w:rsid w:val="001173BB"/>
    <w:rsid w:val="00120497"/>
    <w:rsid w:val="001226A3"/>
    <w:rsid w:val="00123C24"/>
    <w:rsid w:val="0012524D"/>
    <w:rsid w:val="001261AB"/>
    <w:rsid w:val="00126711"/>
    <w:rsid w:val="00127FE6"/>
    <w:rsid w:val="00132DCB"/>
    <w:rsid w:val="00142C9F"/>
    <w:rsid w:val="0014346D"/>
    <w:rsid w:val="00147174"/>
    <w:rsid w:val="00154C11"/>
    <w:rsid w:val="00155478"/>
    <w:rsid w:val="001576CE"/>
    <w:rsid w:val="0015783D"/>
    <w:rsid w:val="0016015D"/>
    <w:rsid w:val="00162BD0"/>
    <w:rsid w:val="00163230"/>
    <w:rsid w:val="00164128"/>
    <w:rsid w:val="00164AB8"/>
    <w:rsid w:val="00164F4B"/>
    <w:rsid w:val="00165BC9"/>
    <w:rsid w:val="00165D05"/>
    <w:rsid w:val="0017093E"/>
    <w:rsid w:val="001717BA"/>
    <w:rsid w:val="00171CE1"/>
    <w:rsid w:val="00172B5C"/>
    <w:rsid w:val="00181372"/>
    <w:rsid w:val="00190010"/>
    <w:rsid w:val="00190987"/>
    <w:rsid w:val="001913D8"/>
    <w:rsid w:val="00191EDE"/>
    <w:rsid w:val="00193194"/>
    <w:rsid w:val="00194692"/>
    <w:rsid w:val="001A447F"/>
    <w:rsid w:val="001A6192"/>
    <w:rsid w:val="001A7376"/>
    <w:rsid w:val="001A7CE8"/>
    <w:rsid w:val="001B0582"/>
    <w:rsid w:val="001B57A7"/>
    <w:rsid w:val="001B61C1"/>
    <w:rsid w:val="001B669F"/>
    <w:rsid w:val="001C0741"/>
    <w:rsid w:val="001C1641"/>
    <w:rsid w:val="001C1851"/>
    <w:rsid w:val="001C284A"/>
    <w:rsid w:val="001C32C7"/>
    <w:rsid w:val="001C41E2"/>
    <w:rsid w:val="001C6301"/>
    <w:rsid w:val="001C78CE"/>
    <w:rsid w:val="001D064A"/>
    <w:rsid w:val="001D2028"/>
    <w:rsid w:val="001D5057"/>
    <w:rsid w:val="001D6B1C"/>
    <w:rsid w:val="001E65FA"/>
    <w:rsid w:val="001E78DB"/>
    <w:rsid w:val="001E7F8D"/>
    <w:rsid w:val="001F2249"/>
    <w:rsid w:val="001F7298"/>
    <w:rsid w:val="00203206"/>
    <w:rsid w:val="00203CB7"/>
    <w:rsid w:val="00204138"/>
    <w:rsid w:val="00205B13"/>
    <w:rsid w:val="0020740D"/>
    <w:rsid w:val="00207BA4"/>
    <w:rsid w:val="00210724"/>
    <w:rsid w:val="00215B62"/>
    <w:rsid w:val="00217C53"/>
    <w:rsid w:val="0022000F"/>
    <w:rsid w:val="002221DF"/>
    <w:rsid w:val="00222B95"/>
    <w:rsid w:val="00225C4C"/>
    <w:rsid w:val="002264CC"/>
    <w:rsid w:val="00227E86"/>
    <w:rsid w:val="00230D90"/>
    <w:rsid w:val="002324A7"/>
    <w:rsid w:val="00234E4D"/>
    <w:rsid w:val="00234F82"/>
    <w:rsid w:val="002377D6"/>
    <w:rsid w:val="00237D1E"/>
    <w:rsid w:val="0024514A"/>
    <w:rsid w:val="00250D56"/>
    <w:rsid w:val="00251D3F"/>
    <w:rsid w:val="00255A92"/>
    <w:rsid w:val="002627F8"/>
    <w:rsid w:val="002665BF"/>
    <w:rsid w:val="00267DA4"/>
    <w:rsid w:val="00267E07"/>
    <w:rsid w:val="002700F7"/>
    <w:rsid w:val="002736A0"/>
    <w:rsid w:val="00273AA7"/>
    <w:rsid w:val="002747C2"/>
    <w:rsid w:val="002755F0"/>
    <w:rsid w:val="00276DC4"/>
    <w:rsid w:val="0027718F"/>
    <w:rsid w:val="0028030E"/>
    <w:rsid w:val="00286916"/>
    <w:rsid w:val="00287A0D"/>
    <w:rsid w:val="00287D42"/>
    <w:rsid w:val="00294934"/>
    <w:rsid w:val="00296AE8"/>
    <w:rsid w:val="002A3362"/>
    <w:rsid w:val="002A3993"/>
    <w:rsid w:val="002A43B7"/>
    <w:rsid w:val="002A7E2E"/>
    <w:rsid w:val="002B5906"/>
    <w:rsid w:val="002C24F0"/>
    <w:rsid w:val="002C35C9"/>
    <w:rsid w:val="002C391A"/>
    <w:rsid w:val="002C5CF8"/>
    <w:rsid w:val="002C5FC3"/>
    <w:rsid w:val="002C7481"/>
    <w:rsid w:val="002E0745"/>
    <w:rsid w:val="002E78BB"/>
    <w:rsid w:val="002F557B"/>
    <w:rsid w:val="003010F3"/>
    <w:rsid w:val="003020D7"/>
    <w:rsid w:val="0030444C"/>
    <w:rsid w:val="00304B00"/>
    <w:rsid w:val="0031367A"/>
    <w:rsid w:val="00314375"/>
    <w:rsid w:val="00317C86"/>
    <w:rsid w:val="00323A10"/>
    <w:rsid w:val="00324651"/>
    <w:rsid w:val="00325B86"/>
    <w:rsid w:val="00330675"/>
    <w:rsid w:val="003320CF"/>
    <w:rsid w:val="003348AF"/>
    <w:rsid w:val="00334B14"/>
    <w:rsid w:val="003355B4"/>
    <w:rsid w:val="00335A99"/>
    <w:rsid w:val="00336B2B"/>
    <w:rsid w:val="00340339"/>
    <w:rsid w:val="0034713D"/>
    <w:rsid w:val="00347D95"/>
    <w:rsid w:val="00351594"/>
    <w:rsid w:val="00351AEA"/>
    <w:rsid w:val="00353FD9"/>
    <w:rsid w:val="00363F65"/>
    <w:rsid w:val="00366406"/>
    <w:rsid w:val="00367BB9"/>
    <w:rsid w:val="003705B7"/>
    <w:rsid w:val="00373271"/>
    <w:rsid w:val="003749B5"/>
    <w:rsid w:val="00375A3F"/>
    <w:rsid w:val="003764DF"/>
    <w:rsid w:val="00376632"/>
    <w:rsid w:val="00377E28"/>
    <w:rsid w:val="00383E1C"/>
    <w:rsid w:val="00387FEE"/>
    <w:rsid w:val="00391EC7"/>
    <w:rsid w:val="00394B22"/>
    <w:rsid w:val="003973A8"/>
    <w:rsid w:val="003A1B4D"/>
    <w:rsid w:val="003A300D"/>
    <w:rsid w:val="003A4BB4"/>
    <w:rsid w:val="003A7893"/>
    <w:rsid w:val="003A7ACE"/>
    <w:rsid w:val="003B13EF"/>
    <w:rsid w:val="003B2E00"/>
    <w:rsid w:val="003B5B6C"/>
    <w:rsid w:val="003C0817"/>
    <w:rsid w:val="003C1DA3"/>
    <w:rsid w:val="003C1DA4"/>
    <w:rsid w:val="003C7A22"/>
    <w:rsid w:val="003D0473"/>
    <w:rsid w:val="003D101C"/>
    <w:rsid w:val="003D1B90"/>
    <w:rsid w:val="003D2ED4"/>
    <w:rsid w:val="003D546D"/>
    <w:rsid w:val="003E0A56"/>
    <w:rsid w:val="003E1086"/>
    <w:rsid w:val="003E311B"/>
    <w:rsid w:val="003F496A"/>
    <w:rsid w:val="003F5EF8"/>
    <w:rsid w:val="003F72AE"/>
    <w:rsid w:val="003F740A"/>
    <w:rsid w:val="00401FDB"/>
    <w:rsid w:val="0040378D"/>
    <w:rsid w:val="00403B49"/>
    <w:rsid w:val="0041166D"/>
    <w:rsid w:val="00417216"/>
    <w:rsid w:val="004201F5"/>
    <w:rsid w:val="00420953"/>
    <w:rsid w:val="004214F4"/>
    <w:rsid w:val="004226C6"/>
    <w:rsid w:val="00423B82"/>
    <w:rsid w:val="00423EBB"/>
    <w:rsid w:val="0042493A"/>
    <w:rsid w:val="004249B1"/>
    <w:rsid w:val="00427997"/>
    <w:rsid w:val="004345C4"/>
    <w:rsid w:val="004358B1"/>
    <w:rsid w:val="004369F7"/>
    <w:rsid w:val="004405E4"/>
    <w:rsid w:val="00440A1E"/>
    <w:rsid w:val="004466AE"/>
    <w:rsid w:val="00446A50"/>
    <w:rsid w:val="00450119"/>
    <w:rsid w:val="00450AC2"/>
    <w:rsid w:val="00452263"/>
    <w:rsid w:val="004606BA"/>
    <w:rsid w:val="0046431D"/>
    <w:rsid w:val="00464C78"/>
    <w:rsid w:val="00466925"/>
    <w:rsid w:val="00467E79"/>
    <w:rsid w:val="004711B3"/>
    <w:rsid w:val="0047199D"/>
    <w:rsid w:val="00473EA3"/>
    <w:rsid w:val="00474A32"/>
    <w:rsid w:val="00480297"/>
    <w:rsid w:val="00490AA8"/>
    <w:rsid w:val="00497FCD"/>
    <w:rsid w:val="004A3993"/>
    <w:rsid w:val="004A3C49"/>
    <w:rsid w:val="004A4580"/>
    <w:rsid w:val="004B5AF0"/>
    <w:rsid w:val="004C001B"/>
    <w:rsid w:val="004C00A1"/>
    <w:rsid w:val="004C0271"/>
    <w:rsid w:val="004C1738"/>
    <w:rsid w:val="004C17DA"/>
    <w:rsid w:val="004C3EDD"/>
    <w:rsid w:val="004C5FE1"/>
    <w:rsid w:val="004C61BB"/>
    <w:rsid w:val="004C660C"/>
    <w:rsid w:val="004C6858"/>
    <w:rsid w:val="004C6F9D"/>
    <w:rsid w:val="004C70D7"/>
    <w:rsid w:val="004D12B7"/>
    <w:rsid w:val="004E1FEF"/>
    <w:rsid w:val="004E4B63"/>
    <w:rsid w:val="004E75A3"/>
    <w:rsid w:val="004E7D2C"/>
    <w:rsid w:val="004F00CF"/>
    <w:rsid w:val="004F04AA"/>
    <w:rsid w:val="004F07E2"/>
    <w:rsid w:val="004F36F3"/>
    <w:rsid w:val="004F4825"/>
    <w:rsid w:val="004F54B5"/>
    <w:rsid w:val="004F64CC"/>
    <w:rsid w:val="005022B7"/>
    <w:rsid w:val="005068A1"/>
    <w:rsid w:val="00507F90"/>
    <w:rsid w:val="00521A93"/>
    <w:rsid w:val="00524D20"/>
    <w:rsid w:val="00527109"/>
    <w:rsid w:val="005273E5"/>
    <w:rsid w:val="00530861"/>
    <w:rsid w:val="00532D53"/>
    <w:rsid w:val="005355E0"/>
    <w:rsid w:val="00536141"/>
    <w:rsid w:val="00536947"/>
    <w:rsid w:val="005409A0"/>
    <w:rsid w:val="005417BE"/>
    <w:rsid w:val="005423D8"/>
    <w:rsid w:val="00543562"/>
    <w:rsid w:val="00556F54"/>
    <w:rsid w:val="00563473"/>
    <w:rsid w:val="00564C1F"/>
    <w:rsid w:val="00566556"/>
    <w:rsid w:val="00566BBC"/>
    <w:rsid w:val="00571708"/>
    <w:rsid w:val="005742D4"/>
    <w:rsid w:val="00574FA8"/>
    <w:rsid w:val="00575A43"/>
    <w:rsid w:val="00582419"/>
    <w:rsid w:val="00582CE9"/>
    <w:rsid w:val="00583FC7"/>
    <w:rsid w:val="00584040"/>
    <w:rsid w:val="0058473B"/>
    <w:rsid w:val="00590670"/>
    <w:rsid w:val="00591CEB"/>
    <w:rsid w:val="00596215"/>
    <w:rsid w:val="005965D8"/>
    <w:rsid w:val="005A1974"/>
    <w:rsid w:val="005A33A2"/>
    <w:rsid w:val="005B2A00"/>
    <w:rsid w:val="005B3486"/>
    <w:rsid w:val="005B4FE7"/>
    <w:rsid w:val="005B5631"/>
    <w:rsid w:val="005B7029"/>
    <w:rsid w:val="005C0C62"/>
    <w:rsid w:val="005C1695"/>
    <w:rsid w:val="005C16A8"/>
    <w:rsid w:val="005C212E"/>
    <w:rsid w:val="005C3461"/>
    <w:rsid w:val="005C3F49"/>
    <w:rsid w:val="005C47A4"/>
    <w:rsid w:val="005C52BA"/>
    <w:rsid w:val="005D0B7B"/>
    <w:rsid w:val="005D755E"/>
    <w:rsid w:val="005E09F6"/>
    <w:rsid w:val="005E4D45"/>
    <w:rsid w:val="005F522F"/>
    <w:rsid w:val="006056E3"/>
    <w:rsid w:val="00606E8E"/>
    <w:rsid w:val="00610556"/>
    <w:rsid w:val="0061178C"/>
    <w:rsid w:val="00612F67"/>
    <w:rsid w:val="00614E61"/>
    <w:rsid w:val="006153AF"/>
    <w:rsid w:val="006157D8"/>
    <w:rsid w:val="006223E7"/>
    <w:rsid w:val="006275DD"/>
    <w:rsid w:val="00627CA5"/>
    <w:rsid w:val="00630744"/>
    <w:rsid w:val="00632165"/>
    <w:rsid w:val="0063273B"/>
    <w:rsid w:val="00635B20"/>
    <w:rsid w:val="006362E8"/>
    <w:rsid w:val="00650759"/>
    <w:rsid w:val="00654FCF"/>
    <w:rsid w:val="006560D1"/>
    <w:rsid w:val="00656E2E"/>
    <w:rsid w:val="00657933"/>
    <w:rsid w:val="00660BA5"/>
    <w:rsid w:val="00667A21"/>
    <w:rsid w:val="006708B9"/>
    <w:rsid w:val="0067102D"/>
    <w:rsid w:val="00673DE8"/>
    <w:rsid w:val="00676AB2"/>
    <w:rsid w:val="00683129"/>
    <w:rsid w:val="00684BC1"/>
    <w:rsid w:val="00685447"/>
    <w:rsid w:val="00690839"/>
    <w:rsid w:val="00695F3B"/>
    <w:rsid w:val="006A5166"/>
    <w:rsid w:val="006B6C8C"/>
    <w:rsid w:val="006B6F80"/>
    <w:rsid w:val="006B738B"/>
    <w:rsid w:val="006C0DC4"/>
    <w:rsid w:val="006C15B1"/>
    <w:rsid w:val="006C484F"/>
    <w:rsid w:val="006D119F"/>
    <w:rsid w:val="006D2DB1"/>
    <w:rsid w:val="006D2F6E"/>
    <w:rsid w:val="006D4887"/>
    <w:rsid w:val="006D4D91"/>
    <w:rsid w:val="006D5112"/>
    <w:rsid w:val="006D7125"/>
    <w:rsid w:val="006E30D7"/>
    <w:rsid w:val="006E43DA"/>
    <w:rsid w:val="006F4A29"/>
    <w:rsid w:val="006F4DC0"/>
    <w:rsid w:val="006F6F37"/>
    <w:rsid w:val="006F76B3"/>
    <w:rsid w:val="0070073E"/>
    <w:rsid w:val="00700977"/>
    <w:rsid w:val="00700EC3"/>
    <w:rsid w:val="007042C4"/>
    <w:rsid w:val="007070FC"/>
    <w:rsid w:val="00707D58"/>
    <w:rsid w:val="00715598"/>
    <w:rsid w:val="00716319"/>
    <w:rsid w:val="00722EF8"/>
    <w:rsid w:val="00724084"/>
    <w:rsid w:val="00725AB7"/>
    <w:rsid w:val="0073169E"/>
    <w:rsid w:val="007316FE"/>
    <w:rsid w:val="00733D38"/>
    <w:rsid w:val="00735A66"/>
    <w:rsid w:val="00735AC4"/>
    <w:rsid w:val="00735E33"/>
    <w:rsid w:val="007362CE"/>
    <w:rsid w:val="007370F9"/>
    <w:rsid w:val="00751189"/>
    <w:rsid w:val="00761A16"/>
    <w:rsid w:val="00763329"/>
    <w:rsid w:val="00763ACC"/>
    <w:rsid w:val="00763E54"/>
    <w:rsid w:val="00764A63"/>
    <w:rsid w:val="00766A02"/>
    <w:rsid w:val="00766C3F"/>
    <w:rsid w:val="0077074C"/>
    <w:rsid w:val="0077303F"/>
    <w:rsid w:val="00773596"/>
    <w:rsid w:val="00773604"/>
    <w:rsid w:val="00774BDC"/>
    <w:rsid w:val="00775925"/>
    <w:rsid w:val="00782376"/>
    <w:rsid w:val="0078430E"/>
    <w:rsid w:val="00784B21"/>
    <w:rsid w:val="00785DB4"/>
    <w:rsid w:val="00786B2E"/>
    <w:rsid w:val="00786B90"/>
    <w:rsid w:val="00792773"/>
    <w:rsid w:val="007947B1"/>
    <w:rsid w:val="007A12B7"/>
    <w:rsid w:val="007B1C62"/>
    <w:rsid w:val="007B3CFA"/>
    <w:rsid w:val="007B4F17"/>
    <w:rsid w:val="007B7AA7"/>
    <w:rsid w:val="007C1728"/>
    <w:rsid w:val="007C2D35"/>
    <w:rsid w:val="007C2DFF"/>
    <w:rsid w:val="007D09EE"/>
    <w:rsid w:val="007D1C05"/>
    <w:rsid w:val="007F0A8B"/>
    <w:rsid w:val="007F1529"/>
    <w:rsid w:val="007F516A"/>
    <w:rsid w:val="007F6477"/>
    <w:rsid w:val="00801E4C"/>
    <w:rsid w:val="00804956"/>
    <w:rsid w:val="00807205"/>
    <w:rsid w:val="0080764A"/>
    <w:rsid w:val="00810C81"/>
    <w:rsid w:val="00811E50"/>
    <w:rsid w:val="00814D8D"/>
    <w:rsid w:val="0081723F"/>
    <w:rsid w:val="00820674"/>
    <w:rsid w:val="00831EE5"/>
    <w:rsid w:val="00834FEF"/>
    <w:rsid w:val="00837CC3"/>
    <w:rsid w:val="00845869"/>
    <w:rsid w:val="00850375"/>
    <w:rsid w:val="00852D32"/>
    <w:rsid w:val="00853925"/>
    <w:rsid w:val="0085455C"/>
    <w:rsid w:val="008631CF"/>
    <w:rsid w:val="00864834"/>
    <w:rsid w:val="00864E20"/>
    <w:rsid w:val="0087023E"/>
    <w:rsid w:val="00870FC4"/>
    <w:rsid w:val="008721B9"/>
    <w:rsid w:val="00874F61"/>
    <w:rsid w:val="00876FED"/>
    <w:rsid w:val="00877002"/>
    <w:rsid w:val="008862CF"/>
    <w:rsid w:val="0088742C"/>
    <w:rsid w:val="00890A12"/>
    <w:rsid w:val="00894106"/>
    <w:rsid w:val="00895AAA"/>
    <w:rsid w:val="00896E87"/>
    <w:rsid w:val="00896FDB"/>
    <w:rsid w:val="00897C67"/>
    <w:rsid w:val="008A0CE0"/>
    <w:rsid w:val="008A3A92"/>
    <w:rsid w:val="008A438F"/>
    <w:rsid w:val="008A5879"/>
    <w:rsid w:val="008B0AB3"/>
    <w:rsid w:val="008B66D0"/>
    <w:rsid w:val="008C653C"/>
    <w:rsid w:val="008D6D5E"/>
    <w:rsid w:val="008E1DB7"/>
    <w:rsid w:val="008F05BF"/>
    <w:rsid w:val="008F18FD"/>
    <w:rsid w:val="008F4CEF"/>
    <w:rsid w:val="008F4F61"/>
    <w:rsid w:val="008F774D"/>
    <w:rsid w:val="00903253"/>
    <w:rsid w:val="00907C20"/>
    <w:rsid w:val="00910AF8"/>
    <w:rsid w:val="00911DE7"/>
    <w:rsid w:val="00913DE7"/>
    <w:rsid w:val="00920137"/>
    <w:rsid w:val="00920FAC"/>
    <w:rsid w:val="0092163A"/>
    <w:rsid w:val="00921AA9"/>
    <w:rsid w:val="009259D9"/>
    <w:rsid w:val="00926FF3"/>
    <w:rsid w:val="00927B35"/>
    <w:rsid w:val="00931816"/>
    <w:rsid w:val="00934570"/>
    <w:rsid w:val="00936013"/>
    <w:rsid w:val="00936FD2"/>
    <w:rsid w:val="00937768"/>
    <w:rsid w:val="009415FB"/>
    <w:rsid w:val="00952E8F"/>
    <w:rsid w:val="00956A21"/>
    <w:rsid w:val="0095746E"/>
    <w:rsid w:val="00957D95"/>
    <w:rsid w:val="00962559"/>
    <w:rsid w:val="00962E2F"/>
    <w:rsid w:val="009645D3"/>
    <w:rsid w:val="009660B6"/>
    <w:rsid w:val="00967F34"/>
    <w:rsid w:val="009731FF"/>
    <w:rsid w:val="00977739"/>
    <w:rsid w:val="00981120"/>
    <w:rsid w:val="00984CBD"/>
    <w:rsid w:val="00985D43"/>
    <w:rsid w:val="00986762"/>
    <w:rsid w:val="00994E9C"/>
    <w:rsid w:val="00995407"/>
    <w:rsid w:val="009962A2"/>
    <w:rsid w:val="00997401"/>
    <w:rsid w:val="00997F4B"/>
    <w:rsid w:val="009A62FE"/>
    <w:rsid w:val="009A6A82"/>
    <w:rsid w:val="009B13C4"/>
    <w:rsid w:val="009B2002"/>
    <w:rsid w:val="009B3C40"/>
    <w:rsid w:val="009B6A6B"/>
    <w:rsid w:val="009B75AB"/>
    <w:rsid w:val="009C579F"/>
    <w:rsid w:val="009C5E00"/>
    <w:rsid w:val="009C6B35"/>
    <w:rsid w:val="009C7023"/>
    <w:rsid w:val="009D3178"/>
    <w:rsid w:val="009D4242"/>
    <w:rsid w:val="009D658C"/>
    <w:rsid w:val="009E29EA"/>
    <w:rsid w:val="009E5347"/>
    <w:rsid w:val="009E5605"/>
    <w:rsid w:val="009F07D6"/>
    <w:rsid w:val="009F2960"/>
    <w:rsid w:val="009F5810"/>
    <w:rsid w:val="009F6048"/>
    <w:rsid w:val="009F7C3D"/>
    <w:rsid w:val="00A0151D"/>
    <w:rsid w:val="00A10750"/>
    <w:rsid w:val="00A15B13"/>
    <w:rsid w:val="00A17A6B"/>
    <w:rsid w:val="00A17DE5"/>
    <w:rsid w:val="00A20A8F"/>
    <w:rsid w:val="00A229A5"/>
    <w:rsid w:val="00A22D6D"/>
    <w:rsid w:val="00A2374F"/>
    <w:rsid w:val="00A25A7C"/>
    <w:rsid w:val="00A260F3"/>
    <w:rsid w:val="00A264C9"/>
    <w:rsid w:val="00A27366"/>
    <w:rsid w:val="00A305B6"/>
    <w:rsid w:val="00A312B8"/>
    <w:rsid w:val="00A31DBD"/>
    <w:rsid w:val="00A32423"/>
    <w:rsid w:val="00A336DC"/>
    <w:rsid w:val="00A405CB"/>
    <w:rsid w:val="00A40A0F"/>
    <w:rsid w:val="00A426E8"/>
    <w:rsid w:val="00A429C6"/>
    <w:rsid w:val="00A430B9"/>
    <w:rsid w:val="00A54279"/>
    <w:rsid w:val="00A61F1E"/>
    <w:rsid w:val="00A6385E"/>
    <w:rsid w:val="00A65E6D"/>
    <w:rsid w:val="00A6619E"/>
    <w:rsid w:val="00A701D2"/>
    <w:rsid w:val="00A70ABC"/>
    <w:rsid w:val="00A72D17"/>
    <w:rsid w:val="00A73A6F"/>
    <w:rsid w:val="00A75024"/>
    <w:rsid w:val="00A75DAC"/>
    <w:rsid w:val="00A7726D"/>
    <w:rsid w:val="00A77703"/>
    <w:rsid w:val="00A778EC"/>
    <w:rsid w:val="00A822A7"/>
    <w:rsid w:val="00A822B9"/>
    <w:rsid w:val="00A85991"/>
    <w:rsid w:val="00A97FD6"/>
    <w:rsid w:val="00AA2E33"/>
    <w:rsid w:val="00AA30B5"/>
    <w:rsid w:val="00AA45DF"/>
    <w:rsid w:val="00AA5C88"/>
    <w:rsid w:val="00AA79BF"/>
    <w:rsid w:val="00AB3E5D"/>
    <w:rsid w:val="00AC064F"/>
    <w:rsid w:val="00AC114C"/>
    <w:rsid w:val="00AC4490"/>
    <w:rsid w:val="00AC6CC9"/>
    <w:rsid w:val="00AD6321"/>
    <w:rsid w:val="00AD71FC"/>
    <w:rsid w:val="00AD787B"/>
    <w:rsid w:val="00AD7ABC"/>
    <w:rsid w:val="00AE325E"/>
    <w:rsid w:val="00AE4FE3"/>
    <w:rsid w:val="00AE5853"/>
    <w:rsid w:val="00AE7D06"/>
    <w:rsid w:val="00AF1C9F"/>
    <w:rsid w:val="00AF35DB"/>
    <w:rsid w:val="00AF469E"/>
    <w:rsid w:val="00AF602B"/>
    <w:rsid w:val="00B048E4"/>
    <w:rsid w:val="00B0606C"/>
    <w:rsid w:val="00B10CA3"/>
    <w:rsid w:val="00B17209"/>
    <w:rsid w:val="00B2079D"/>
    <w:rsid w:val="00B20905"/>
    <w:rsid w:val="00B20B1A"/>
    <w:rsid w:val="00B22174"/>
    <w:rsid w:val="00B2792F"/>
    <w:rsid w:val="00B31D40"/>
    <w:rsid w:val="00B3230B"/>
    <w:rsid w:val="00B3311E"/>
    <w:rsid w:val="00B34440"/>
    <w:rsid w:val="00B35CA8"/>
    <w:rsid w:val="00B3763F"/>
    <w:rsid w:val="00B458EA"/>
    <w:rsid w:val="00B4716B"/>
    <w:rsid w:val="00B52D12"/>
    <w:rsid w:val="00B66889"/>
    <w:rsid w:val="00B67EBE"/>
    <w:rsid w:val="00B72852"/>
    <w:rsid w:val="00B76C53"/>
    <w:rsid w:val="00B817EF"/>
    <w:rsid w:val="00B818C1"/>
    <w:rsid w:val="00B912B2"/>
    <w:rsid w:val="00B92641"/>
    <w:rsid w:val="00B95BCD"/>
    <w:rsid w:val="00B97DF0"/>
    <w:rsid w:val="00BA01EF"/>
    <w:rsid w:val="00BA1DEF"/>
    <w:rsid w:val="00BA2732"/>
    <w:rsid w:val="00BA7B2D"/>
    <w:rsid w:val="00BB223C"/>
    <w:rsid w:val="00BB4912"/>
    <w:rsid w:val="00BD38C3"/>
    <w:rsid w:val="00BD506D"/>
    <w:rsid w:val="00BD65D0"/>
    <w:rsid w:val="00BD669E"/>
    <w:rsid w:val="00BD72FF"/>
    <w:rsid w:val="00BD7322"/>
    <w:rsid w:val="00BE2D0D"/>
    <w:rsid w:val="00BE51B8"/>
    <w:rsid w:val="00BE665E"/>
    <w:rsid w:val="00BE77F4"/>
    <w:rsid w:val="00BF2F39"/>
    <w:rsid w:val="00C055EC"/>
    <w:rsid w:val="00C05BDE"/>
    <w:rsid w:val="00C128B6"/>
    <w:rsid w:val="00C13F8A"/>
    <w:rsid w:val="00C1477B"/>
    <w:rsid w:val="00C14F79"/>
    <w:rsid w:val="00C17919"/>
    <w:rsid w:val="00C22627"/>
    <w:rsid w:val="00C2402B"/>
    <w:rsid w:val="00C263D4"/>
    <w:rsid w:val="00C27FD4"/>
    <w:rsid w:val="00C32992"/>
    <w:rsid w:val="00C43B46"/>
    <w:rsid w:val="00C43E9C"/>
    <w:rsid w:val="00C458BF"/>
    <w:rsid w:val="00C464DD"/>
    <w:rsid w:val="00C51AAC"/>
    <w:rsid w:val="00C51D1F"/>
    <w:rsid w:val="00C52306"/>
    <w:rsid w:val="00C5255A"/>
    <w:rsid w:val="00C52712"/>
    <w:rsid w:val="00C539E4"/>
    <w:rsid w:val="00C53F57"/>
    <w:rsid w:val="00C601B2"/>
    <w:rsid w:val="00C64710"/>
    <w:rsid w:val="00C65CB7"/>
    <w:rsid w:val="00C666C6"/>
    <w:rsid w:val="00C710BD"/>
    <w:rsid w:val="00C723D6"/>
    <w:rsid w:val="00C753A6"/>
    <w:rsid w:val="00C75C9C"/>
    <w:rsid w:val="00C800FA"/>
    <w:rsid w:val="00C80734"/>
    <w:rsid w:val="00C81655"/>
    <w:rsid w:val="00C8269C"/>
    <w:rsid w:val="00C827EE"/>
    <w:rsid w:val="00C82CBB"/>
    <w:rsid w:val="00C85633"/>
    <w:rsid w:val="00C874BA"/>
    <w:rsid w:val="00C87523"/>
    <w:rsid w:val="00C87901"/>
    <w:rsid w:val="00C90909"/>
    <w:rsid w:val="00C9344B"/>
    <w:rsid w:val="00C9442C"/>
    <w:rsid w:val="00C94437"/>
    <w:rsid w:val="00C95371"/>
    <w:rsid w:val="00C956F6"/>
    <w:rsid w:val="00CA41D7"/>
    <w:rsid w:val="00CA7CAD"/>
    <w:rsid w:val="00CB27A4"/>
    <w:rsid w:val="00CB4679"/>
    <w:rsid w:val="00CC19E7"/>
    <w:rsid w:val="00CC534E"/>
    <w:rsid w:val="00CC7DB7"/>
    <w:rsid w:val="00CC7FC6"/>
    <w:rsid w:val="00CC7FC7"/>
    <w:rsid w:val="00CD021F"/>
    <w:rsid w:val="00CD3C95"/>
    <w:rsid w:val="00CD48B5"/>
    <w:rsid w:val="00CD4FFE"/>
    <w:rsid w:val="00CE08FF"/>
    <w:rsid w:val="00CE1393"/>
    <w:rsid w:val="00CE1721"/>
    <w:rsid w:val="00CE32BB"/>
    <w:rsid w:val="00CE5D35"/>
    <w:rsid w:val="00CF22BB"/>
    <w:rsid w:val="00CF47DF"/>
    <w:rsid w:val="00CF574E"/>
    <w:rsid w:val="00D017A5"/>
    <w:rsid w:val="00D02AA6"/>
    <w:rsid w:val="00D02C4E"/>
    <w:rsid w:val="00D06D1B"/>
    <w:rsid w:val="00D106C1"/>
    <w:rsid w:val="00D10F27"/>
    <w:rsid w:val="00D11F9B"/>
    <w:rsid w:val="00D12A15"/>
    <w:rsid w:val="00D12B62"/>
    <w:rsid w:val="00D16C81"/>
    <w:rsid w:val="00D200B0"/>
    <w:rsid w:val="00D227E3"/>
    <w:rsid w:val="00D229B8"/>
    <w:rsid w:val="00D22BCA"/>
    <w:rsid w:val="00D25208"/>
    <w:rsid w:val="00D26AB5"/>
    <w:rsid w:val="00D26F9F"/>
    <w:rsid w:val="00D31552"/>
    <w:rsid w:val="00D32727"/>
    <w:rsid w:val="00D33A44"/>
    <w:rsid w:val="00D33E14"/>
    <w:rsid w:val="00D34A8E"/>
    <w:rsid w:val="00D42229"/>
    <w:rsid w:val="00D53BE7"/>
    <w:rsid w:val="00D54CB8"/>
    <w:rsid w:val="00D55EB7"/>
    <w:rsid w:val="00D604DC"/>
    <w:rsid w:val="00D61F34"/>
    <w:rsid w:val="00D64B25"/>
    <w:rsid w:val="00D739E3"/>
    <w:rsid w:val="00D74407"/>
    <w:rsid w:val="00D754DC"/>
    <w:rsid w:val="00D76714"/>
    <w:rsid w:val="00D80EDD"/>
    <w:rsid w:val="00D81250"/>
    <w:rsid w:val="00D83AAA"/>
    <w:rsid w:val="00D94CBC"/>
    <w:rsid w:val="00D95665"/>
    <w:rsid w:val="00D96813"/>
    <w:rsid w:val="00DA1C28"/>
    <w:rsid w:val="00DA1E7A"/>
    <w:rsid w:val="00DB0933"/>
    <w:rsid w:val="00DB1210"/>
    <w:rsid w:val="00DB1FDC"/>
    <w:rsid w:val="00DB6F33"/>
    <w:rsid w:val="00DC1513"/>
    <w:rsid w:val="00DC19DC"/>
    <w:rsid w:val="00DC3887"/>
    <w:rsid w:val="00DC4894"/>
    <w:rsid w:val="00DC5402"/>
    <w:rsid w:val="00DC75F2"/>
    <w:rsid w:val="00DC7E04"/>
    <w:rsid w:val="00DD3A74"/>
    <w:rsid w:val="00DE1290"/>
    <w:rsid w:val="00DE1499"/>
    <w:rsid w:val="00DE5057"/>
    <w:rsid w:val="00DF6768"/>
    <w:rsid w:val="00E0660C"/>
    <w:rsid w:val="00E12922"/>
    <w:rsid w:val="00E1468E"/>
    <w:rsid w:val="00E1521C"/>
    <w:rsid w:val="00E2148D"/>
    <w:rsid w:val="00E25950"/>
    <w:rsid w:val="00E261A6"/>
    <w:rsid w:val="00E26BBC"/>
    <w:rsid w:val="00E315B8"/>
    <w:rsid w:val="00E315F0"/>
    <w:rsid w:val="00E3461E"/>
    <w:rsid w:val="00E359E2"/>
    <w:rsid w:val="00E36753"/>
    <w:rsid w:val="00E449AC"/>
    <w:rsid w:val="00E4634D"/>
    <w:rsid w:val="00E503EF"/>
    <w:rsid w:val="00E50EA3"/>
    <w:rsid w:val="00E536E1"/>
    <w:rsid w:val="00E55320"/>
    <w:rsid w:val="00E573D2"/>
    <w:rsid w:val="00E653CE"/>
    <w:rsid w:val="00E728AD"/>
    <w:rsid w:val="00E810B8"/>
    <w:rsid w:val="00E821F6"/>
    <w:rsid w:val="00E86A22"/>
    <w:rsid w:val="00E91AB8"/>
    <w:rsid w:val="00E94022"/>
    <w:rsid w:val="00E94426"/>
    <w:rsid w:val="00E96564"/>
    <w:rsid w:val="00EA1062"/>
    <w:rsid w:val="00EA143F"/>
    <w:rsid w:val="00EA3EB3"/>
    <w:rsid w:val="00EA50FA"/>
    <w:rsid w:val="00EA7990"/>
    <w:rsid w:val="00EA7FC1"/>
    <w:rsid w:val="00EB0629"/>
    <w:rsid w:val="00EB0B9F"/>
    <w:rsid w:val="00EB108A"/>
    <w:rsid w:val="00EC1256"/>
    <w:rsid w:val="00EC156F"/>
    <w:rsid w:val="00EC2454"/>
    <w:rsid w:val="00EC35E4"/>
    <w:rsid w:val="00EC7412"/>
    <w:rsid w:val="00ED643E"/>
    <w:rsid w:val="00EE056F"/>
    <w:rsid w:val="00EE19A6"/>
    <w:rsid w:val="00EE22B7"/>
    <w:rsid w:val="00F00FDE"/>
    <w:rsid w:val="00F043F1"/>
    <w:rsid w:val="00F10872"/>
    <w:rsid w:val="00F14765"/>
    <w:rsid w:val="00F175E6"/>
    <w:rsid w:val="00F17C0F"/>
    <w:rsid w:val="00F2375D"/>
    <w:rsid w:val="00F23D33"/>
    <w:rsid w:val="00F24E71"/>
    <w:rsid w:val="00F24EA0"/>
    <w:rsid w:val="00F2531A"/>
    <w:rsid w:val="00F27BD3"/>
    <w:rsid w:val="00F338ED"/>
    <w:rsid w:val="00F3613F"/>
    <w:rsid w:val="00F36AA0"/>
    <w:rsid w:val="00F37796"/>
    <w:rsid w:val="00F37BA1"/>
    <w:rsid w:val="00F37C42"/>
    <w:rsid w:val="00F400BD"/>
    <w:rsid w:val="00F4371C"/>
    <w:rsid w:val="00F52A0F"/>
    <w:rsid w:val="00F535DD"/>
    <w:rsid w:val="00F53915"/>
    <w:rsid w:val="00F540F5"/>
    <w:rsid w:val="00F54829"/>
    <w:rsid w:val="00F55537"/>
    <w:rsid w:val="00F57E7B"/>
    <w:rsid w:val="00F62054"/>
    <w:rsid w:val="00F632F9"/>
    <w:rsid w:val="00F63E83"/>
    <w:rsid w:val="00F66622"/>
    <w:rsid w:val="00F66678"/>
    <w:rsid w:val="00F6683A"/>
    <w:rsid w:val="00F710B6"/>
    <w:rsid w:val="00F734B0"/>
    <w:rsid w:val="00F827E8"/>
    <w:rsid w:val="00F82A20"/>
    <w:rsid w:val="00F840D0"/>
    <w:rsid w:val="00F851B0"/>
    <w:rsid w:val="00F8727F"/>
    <w:rsid w:val="00F9165A"/>
    <w:rsid w:val="00F921FE"/>
    <w:rsid w:val="00F92558"/>
    <w:rsid w:val="00F94946"/>
    <w:rsid w:val="00F97F08"/>
    <w:rsid w:val="00FA082F"/>
    <w:rsid w:val="00FA0FBD"/>
    <w:rsid w:val="00FA27F1"/>
    <w:rsid w:val="00FA397A"/>
    <w:rsid w:val="00FA45AE"/>
    <w:rsid w:val="00FA4FAC"/>
    <w:rsid w:val="00FB1F72"/>
    <w:rsid w:val="00FB21E8"/>
    <w:rsid w:val="00FB3A0A"/>
    <w:rsid w:val="00FB606E"/>
    <w:rsid w:val="00FC0C53"/>
    <w:rsid w:val="00FC12B7"/>
    <w:rsid w:val="00FC2B04"/>
    <w:rsid w:val="00FC5337"/>
    <w:rsid w:val="00FC71DE"/>
    <w:rsid w:val="00FD2398"/>
    <w:rsid w:val="00FD273B"/>
    <w:rsid w:val="00FD715E"/>
    <w:rsid w:val="00FE2CF6"/>
    <w:rsid w:val="00FE2ECA"/>
    <w:rsid w:val="00FE7C4A"/>
    <w:rsid w:val="00FF09CF"/>
    <w:rsid w:val="00FF4262"/>
    <w:rsid w:val="00FF585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35" w:qFormat="1"/>
    <w:lsdException w:name="Title" w:locked="1" w:semiHidden="0" w:uiPriority="10" w:unhideWhenUsed="0" w:qFormat="1"/>
    <w:lsdException w:name="Default Paragraph Font" w:locked="1" w:semiHidden="0" w:uiPriority="0" w:unhideWhenUsed="0"/>
    <w:lsdException w:name="Message Header" w:uiPriority="0"/>
    <w:lsdException w:name="Subtitle" w:locked="1" w:semiHidden="0" w:uiPriority="11"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3A2"/>
    <w:rPr>
      <w:rFonts w:ascii="Arial" w:hAnsi="Arial"/>
      <w:szCs w:val="20"/>
    </w:rPr>
  </w:style>
  <w:style w:type="paragraph" w:styleId="Heading1">
    <w:name w:val="heading 1"/>
    <w:basedOn w:val="Normal"/>
    <w:next w:val="Normal"/>
    <w:link w:val="Heading1Char"/>
    <w:uiPriority w:val="9"/>
    <w:qFormat/>
    <w:rsid w:val="002B5906"/>
    <w:pPr>
      <w:pBdr>
        <w:top w:val="single" w:sz="8" w:space="1" w:color="49773B"/>
        <w:left w:val="single" w:sz="8" w:space="4" w:color="49773B"/>
        <w:bottom w:val="single" w:sz="8" w:space="1" w:color="49773B"/>
        <w:right w:val="single" w:sz="8" w:space="4" w:color="49773B"/>
      </w:pBdr>
      <w:shd w:val="clear" w:color="auto" w:fill="49773B"/>
      <w:spacing w:after="0"/>
      <w:outlineLvl w:val="0"/>
    </w:pPr>
    <w:rPr>
      <w:rFonts w:ascii="Calibri Light" w:hAnsi="Calibri Light"/>
      <w:bCs/>
      <w:caps/>
      <w:color w:val="FFFFFF" w:themeColor="background1"/>
      <w:spacing w:val="15"/>
      <w:sz w:val="24"/>
      <w:szCs w:val="22"/>
    </w:rPr>
  </w:style>
  <w:style w:type="paragraph" w:styleId="Heading2">
    <w:name w:val="heading 2"/>
    <w:basedOn w:val="Heading1"/>
    <w:next w:val="Normal"/>
    <w:link w:val="Heading2Char"/>
    <w:uiPriority w:val="9"/>
    <w:unhideWhenUsed/>
    <w:qFormat/>
    <w:rsid w:val="005A33A2"/>
    <w:pPr>
      <w:pBdr>
        <w:top w:val="single" w:sz="8" w:space="1" w:color="BED1E8"/>
        <w:left w:val="single" w:sz="8" w:space="4" w:color="BED1E8"/>
        <w:bottom w:val="single" w:sz="8" w:space="1" w:color="BED1E8"/>
        <w:right w:val="single" w:sz="8" w:space="4" w:color="BED1E8"/>
      </w:pBdr>
      <w:shd w:val="clear" w:color="auto" w:fill="BED1E8"/>
      <w:outlineLvl w:val="1"/>
    </w:pPr>
    <w:rPr>
      <w:color w:val="auto"/>
    </w:rPr>
  </w:style>
  <w:style w:type="paragraph" w:styleId="Heading3">
    <w:name w:val="heading 3"/>
    <w:basedOn w:val="Normal"/>
    <w:next w:val="Normal"/>
    <w:link w:val="Heading3Char"/>
    <w:uiPriority w:val="9"/>
    <w:unhideWhenUsed/>
    <w:qFormat/>
    <w:rsid w:val="005A33A2"/>
    <w:pPr>
      <w:pBdr>
        <w:top w:val="single" w:sz="6" w:space="2" w:color="4F81BD" w:themeColor="accent1"/>
        <w:left w:val="single" w:sz="6" w:space="2" w:color="4F81BD" w:themeColor="accent1"/>
      </w:pBdr>
      <w:spacing w:before="300" w:after="0"/>
      <w:outlineLvl w:val="2"/>
    </w:pPr>
    <w:rPr>
      <w:rFonts w:ascii="Calibri Light" w:hAnsi="Calibri Light"/>
      <w:caps/>
      <w:color w:val="243F60" w:themeColor="accent1" w:themeShade="7F"/>
      <w:spacing w:val="15"/>
      <w:sz w:val="24"/>
      <w:szCs w:val="24"/>
    </w:rPr>
  </w:style>
  <w:style w:type="paragraph" w:styleId="Heading4">
    <w:name w:val="heading 4"/>
    <w:basedOn w:val="Normal"/>
    <w:next w:val="Normal"/>
    <w:link w:val="Heading4Char"/>
    <w:uiPriority w:val="9"/>
    <w:unhideWhenUsed/>
    <w:qFormat/>
    <w:locked/>
    <w:rsid w:val="00060FCB"/>
    <w:pPr>
      <w:keepNext/>
      <w:pBdr>
        <w:top w:val="dotted" w:sz="6" w:space="2" w:color="4F81BD" w:themeColor="accent1"/>
        <w:left w:val="dotted" w:sz="6" w:space="2" w:color="4F81BD" w:themeColor="accent1"/>
      </w:pBdr>
      <w:spacing w:before="300" w:after="0"/>
      <w:outlineLvl w:val="3"/>
    </w:pPr>
    <w:rPr>
      <w:rFonts w:ascii="Calibri Light" w:hAnsi="Calibri Light"/>
      <w:caps/>
      <w:color w:val="365F91" w:themeColor="accent1" w:themeShade="BF"/>
      <w:spacing w:val="10"/>
      <w:sz w:val="24"/>
      <w:szCs w:val="22"/>
    </w:rPr>
  </w:style>
  <w:style w:type="paragraph" w:styleId="Heading5">
    <w:name w:val="heading 5"/>
    <w:basedOn w:val="Normal"/>
    <w:next w:val="Normal"/>
    <w:link w:val="Heading5Char"/>
    <w:uiPriority w:val="9"/>
    <w:unhideWhenUsed/>
    <w:qFormat/>
    <w:locked/>
    <w:rsid w:val="00CE32BB"/>
    <w:pPr>
      <w:pBdr>
        <w:bottom w:val="single" w:sz="6" w:space="1" w:color="4F81BD" w:themeColor="accent1"/>
      </w:pBdr>
      <w:spacing w:before="300" w:after="0"/>
      <w:outlineLvl w:val="4"/>
    </w:pPr>
    <w:rPr>
      <w:caps/>
      <w:color w:val="365F91" w:themeColor="accent1" w:themeShade="BF"/>
      <w:spacing w:val="10"/>
      <w:szCs w:val="22"/>
    </w:rPr>
  </w:style>
  <w:style w:type="paragraph" w:styleId="Heading6">
    <w:name w:val="heading 6"/>
    <w:basedOn w:val="Normal"/>
    <w:next w:val="Normal"/>
    <w:link w:val="Heading6Char"/>
    <w:uiPriority w:val="9"/>
    <w:semiHidden/>
    <w:unhideWhenUsed/>
    <w:qFormat/>
    <w:locked/>
    <w:rsid w:val="00CE32BB"/>
    <w:pPr>
      <w:pBdr>
        <w:bottom w:val="dotted" w:sz="6" w:space="1" w:color="4F81BD" w:themeColor="accent1"/>
      </w:pBdr>
      <w:spacing w:before="300" w:after="0"/>
      <w:outlineLvl w:val="5"/>
    </w:pPr>
    <w:rPr>
      <w:caps/>
      <w:color w:val="365F91" w:themeColor="accent1" w:themeShade="BF"/>
      <w:spacing w:val="10"/>
      <w:szCs w:val="22"/>
    </w:rPr>
  </w:style>
  <w:style w:type="paragraph" w:styleId="Heading7">
    <w:name w:val="heading 7"/>
    <w:basedOn w:val="Normal"/>
    <w:next w:val="Normal"/>
    <w:link w:val="Heading7Char"/>
    <w:uiPriority w:val="9"/>
    <w:semiHidden/>
    <w:unhideWhenUsed/>
    <w:qFormat/>
    <w:locked/>
    <w:rsid w:val="00CE32BB"/>
    <w:pPr>
      <w:spacing w:before="300" w:after="0"/>
      <w:outlineLvl w:val="6"/>
    </w:pPr>
    <w:rPr>
      <w:caps/>
      <w:color w:val="365F91" w:themeColor="accent1" w:themeShade="BF"/>
      <w:spacing w:val="10"/>
      <w:szCs w:val="22"/>
    </w:rPr>
  </w:style>
  <w:style w:type="paragraph" w:styleId="Heading8">
    <w:name w:val="heading 8"/>
    <w:basedOn w:val="Normal"/>
    <w:next w:val="Normal"/>
    <w:link w:val="Heading8Char"/>
    <w:uiPriority w:val="9"/>
    <w:semiHidden/>
    <w:unhideWhenUsed/>
    <w:qFormat/>
    <w:locked/>
    <w:rsid w:val="00CE32BB"/>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locked/>
    <w:rsid w:val="00CE32BB"/>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2B5906"/>
    <w:rPr>
      <w:rFonts w:ascii="Calibri Light" w:hAnsi="Calibri Light"/>
      <w:bCs/>
      <w:caps/>
      <w:color w:val="FFFFFF" w:themeColor="background1"/>
      <w:spacing w:val="15"/>
      <w:sz w:val="24"/>
      <w:shd w:val="clear" w:color="auto" w:fill="49773B"/>
    </w:rPr>
  </w:style>
  <w:style w:type="character" w:customStyle="1" w:styleId="Heading2Char">
    <w:name w:val="Heading 2 Char"/>
    <w:basedOn w:val="DefaultParagraphFont"/>
    <w:link w:val="Heading2"/>
    <w:uiPriority w:val="9"/>
    <w:locked/>
    <w:rsid w:val="005A33A2"/>
    <w:rPr>
      <w:rFonts w:ascii="Calibri Light" w:hAnsi="Calibri Light"/>
      <w:bCs/>
      <w:caps/>
      <w:spacing w:val="15"/>
      <w:sz w:val="28"/>
      <w:shd w:val="clear" w:color="auto" w:fill="BED1E8"/>
    </w:rPr>
  </w:style>
  <w:style w:type="character" w:customStyle="1" w:styleId="Heading3Char">
    <w:name w:val="Heading 3 Char"/>
    <w:basedOn w:val="DefaultParagraphFont"/>
    <w:link w:val="Heading3"/>
    <w:uiPriority w:val="9"/>
    <w:locked/>
    <w:rsid w:val="005A33A2"/>
    <w:rPr>
      <w:rFonts w:ascii="Calibri Light" w:hAnsi="Calibri Light"/>
      <w:caps/>
      <w:color w:val="243F60" w:themeColor="accent1" w:themeShade="7F"/>
      <w:spacing w:val="15"/>
      <w:sz w:val="24"/>
      <w:szCs w:val="24"/>
    </w:rPr>
  </w:style>
  <w:style w:type="paragraph" w:styleId="BalloonText">
    <w:name w:val="Balloon Text"/>
    <w:basedOn w:val="Normal"/>
    <w:link w:val="BalloonTextChar"/>
    <w:uiPriority w:val="99"/>
    <w:semiHidden/>
    <w:rsid w:val="00A2374F"/>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locked/>
    <w:rsid w:val="00A2374F"/>
    <w:rPr>
      <w:rFonts w:ascii="Tahoma" w:hAnsi="Tahoma" w:cs="Tahoma"/>
      <w:sz w:val="16"/>
      <w:szCs w:val="16"/>
    </w:rPr>
  </w:style>
  <w:style w:type="character" w:customStyle="1" w:styleId="Heading5Char">
    <w:name w:val="Heading 5 Char"/>
    <w:basedOn w:val="DefaultParagraphFont"/>
    <w:link w:val="Heading5"/>
    <w:uiPriority w:val="9"/>
    <w:rsid w:val="00CE32BB"/>
    <w:rPr>
      <w:caps/>
      <w:color w:val="365F91" w:themeColor="accent1" w:themeShade="BF"/>
      <w:spacing w:val="10"/>
    </w:rPr>
  </w:style>
  <w:style w:type="character" w:customStyle="1" w:styleId="BoldItalic">
    <w:name w:val="Bold Italic"/>
    <w:uiPriority w:val="99"/>
    <w:rsid w:val="006F6F37"/>
    <w:rPr>
      <w:b/>
      <w:i/>
      <w:color w:val="000000"/>
    </w:rPr>
  </w:style>
  <w:style w:type="paragraph" w:styleId="ListParagraph">
    <w:name w:val="List Paragraph"/>
    <w:basedOn w:val="Normal"/>
    <w:uiPriority w:val="34"/>
    <w:qFormat/>
    <w:rsid w:val="00CE32BB"/>
    <w:pPr>
      <w:ind w:left="720"/>
      <w:contextualSpacing/>
    </w:pPr>
  </w:style>
  <w:style w:type="paragraph" w:styleId="Header">
    <w:name w:val="header"/>
    <w:aliases w:val="Header/Footer"/>
    <w:basedOn w:val="Normal"/>
    <w:link w:val="HeaderChar"/>
    <w:uiPriority w:val="99"/>
    <w:rsid w:val="00F9165A"/>
    <w:pPr>
      <w:tabs>
        <w:tab w:val="center" w:pos="4680"/>
        <w:tab w:val="right" w:pos="9360"/>
      </w:tabs>
      <w:spacing w:after="0" w:line="240" w:lineRule="auto"/>
    </w:pPr>
  </w:style>
  <w:style w:type="character" w:customStyle="1" w:styleId="HeaderChar">
    <w:name w:val="Header Char"/>
    <w:aliases w:val="Header/Footer Char"/>
    <w:basedOn w:val="DefaultParagraphFont"/>
    <w:link w:val="Header"/>
    <w:uiPriority w:val="99"/>
    <w:locked/>
    <w:rsid w:val="00F9165A"/>
    <w:rPr>
      <w:rFonts w:cs="Times New Roman"/>
    </w:rPr>
  </w:style>
  <w:style w:type="character" w:styleId="CommentReference">
    <w:name w:val="annotation reference"/>
    <w:basedOn w:val="DefaultParagraphFont"/>
    <w:uiPriority w:val="99"/>
    <w:semiHidden/>
    <w:rsid w:val="00773604"/>
    <w:rPr>
      <w:rFonts w:cs="Times New Roman"/>
      <w:sz w:val="18"/>
      <w:szCs w:val="18"/>
    </w:rPr>
  </w:style>
  <w:style w:type="paragraph" w:styleId="CommentText">
    <w:name w:val="annotation text"/>
    <w:basedOn w:val="Normal"/>
    <w:link w:val="CommentTextChar"/>
    <w:uiPriority w:val="99"/>
    <w:semiHidden/>
    <w:rsid w:val="00773604"/>
    <w:pPr>
      <w:spacing w:line="240" w:lineRule="auto"/>
    </w:pPr>
    <w:rPr>
      <w:sz w:val="24"/>
      <w:szCs w:val="24"/>
    </w:rPr>
  </w:style>
  <w:style w:type="character" w:customStyle="1" w:styleId="CommentTextChar">
    <w:name w:val="Comment Text Char"/>
    <w:basedOn w:val="DefaultParagraphFont"/>
    <w:link w:val="CommentText"/>
    <w:uiPriority w:val="99"/>
    <w:semiHidden/>
    <w:locked/>
    <w:rsid w:val="00773604"/>
    <w:rPr>
      <w:rFonts w:cs="Times New Roman"/>
      <w:sz w:val="24"/>
      <w:szCs w:val="24"/>
    </w:rPr>
  </w:style>
  <w:style w:type="paragraph" w:styleId="CommentSubject">
    <w:name w:val="annotation subject"/>
    <w:basedOn w:val="CommentText"/>
    <w:next w:val="CommentText"/>
    <w:link w:val="CommentSubjectChar"/>
    <w:uiPriority w:val="99"/>
    <w:semiHidden/>
    <w:rsid w:val="00773604"/>
    <w:rPr>
      <w:b/>
      <w:bCs/>
      <w:sz w:val="20"/>
      <w:szCs w:val="20"/>
    </w:rPr>
  </w:style>
  <w:style w:type="character" w:customStyle="1" w:styleId="CommentSubjectChar">
    <w:name w:val="Comment Subject Char"/>
    <w:basedOn w:val="CommentTextChar"/>
    <w:link w:val="CommentSubject"/>
    <w:uiPriority w:val="99"/>
    <w:semiHidden/>
    <w:locked/>
    <w:rsid w:val="00773604"/>
    <w:rPr>
      <w:rFonts w:cs="Times New Roman"/>
      <w:b/>
      <w:bCs/>
      <w:sz w:val="20"/>
      <w:szCs w:val="20"/>
    </w:rPr>
  </w:style>
  <w:style w:type="paragraph" w:styleId="FootnoteText">
    <w:name w:val="footnote text"/>
    <w:basedOn w:val="Normal"/>
    <w:link w:val="FootnoteTextChar"/>
    <w:uiPriority w:val="99"/>
    <w:semiHidden/>
    <w:rsid w:val="00997F4B"/>
    <w:rPr>
      <w:sz w:val="20"/>
    </w:rPr>
  </w:style>
  <w:style w:type="character" w:customStyle="1" w:styleId="FootnoteTextChar">
    <w:name w:val="Footnote Text Char"/>
    <w:basedOn w:val="DefaultParagraphFont"/>
    <w:link w:val="FootnoteText"/>
    <w:uiPriority w:val="99"/>
    <w:semiHidden/>
    <w:locked/>
    <w:rsid w:val="004345C4"/>
    <w:rPr>
      <w:rFonts w:cs="Times New Roman"/>
      <w:sz w:val="20"/>
      <w:szCs w:val="20"/>
    </w:rPr>
  </w:style>
  <w:style w:type="character" w:styleId="FootnoteReference">
    <w:name w:val="footnote reference"/>
    <w:basedOn w:val="DefaultParagraphFont"/>
    <w:uiPriority w:val="99"/>
    <w:semiHidden/>
    <w:rsid w:val="00997F4B"/>
    <w:rPr>
      <w:rFonts w:cs="Times New Roman"/>
      <w:vertAlign w:val="superscript"/>
    </w:rPr>
  </w:style>
  <w:style w:type="paragraph" w:styleId="Revision">
    <w:name w:val="Revision"/>
    <w:hidden/>
    <w:uiPriority w:val="99"/>
    <w:semiHidden/>
    <w:rsid w:val="009F5810"/>
  </w:style>
  <w:style w:type="paragraph" w:styleId="Title">
    <w:name w:val="Title"/>
    <w:basedOn w:val="Normal"/>
    <w:next w:val="Normal"/>
    <w:link w:val="TitleChar"/>
    <w:uiPriority w:val="10"/>
    <w:qFormat/>
    <w:locked/>
    <w:rsid w:val="00132DCB"/>
    <w:pPr>
      <w:spacing w:before="720"/>
    </w:pPr>
    <w:rPr>
      <w:rFonts w:ascii="Calibri Light" w:hAnsi="Calibri Light"/>
      <w:color w:val="4F81BD" w:themeColor="accent1"/>
      <w:spacing w:val="10"/>
      <w:kern w:val="28"/>
      <w:sz w:val="52"/>
      <w:szCs w:val="52"/>
    </w:rPr>
  </w:style>
  <w:style w:type="character" w:customStyle="1" w:styleId="TitleChar">
    <w:name w:val="Title Char"/>
    <w:basedOn w:val="DefaultParagraphFont"/>
    <w:link w:val="Title"/>
    <w:uiPriority w:val="10"/>
    <w:rsid w:val="00132DCB"/>
    <w:rPr>
      <w:rFonts w:ascii="Calibri Light" w:hAnsi="Calibri Light"/>
      <w:color w:val="4F81BD" w:themeColor="accent1"/>
      <w:spacing w:val="10"/>
      <w:kern w:val="28"/>
      <w:sz w:val="52"/>
      <w:szCs w:val="52"/>
    </w:rPr>
  </w:style>
  <w:style w:type="paragraph" w:customStyle="1" w:styleId="MemoHeading">
    <w:name w:val="MemoHeading"/>
    <w:basedOn w:val="Normal"/>
    <w:qFormat/>
    <w:rsid w:val="00304B00"/>
    <w:pPr>
      <w:spacing w:after="0"/>
    </w:pPr>
    <w:rPr>
      <w:szCs w:val="24"/>
    </w:rPr>
  </w:style>
  <w:style w:type="paragraph" w:styleId="TOC1">
    <w:name w:val="toc 1"/>
    <w:basedOn w:val="Normal"/>
    <w:next w:val="Normal"/>
    <w:autoRedefine/>
    <w:locked/>
    <w:rsid w:val="009F7C3D"/>
    <w:pPr>
      <w:spacing w:after="100"/>
    </w:pPr>
  </w:style>
  <w:style w:type="character" w:customStyle="1" w:styleId="Heading4Char">
    <w:name w:val="Heading 4 Char"/>
    <w:basedOn w:val="DefaultParagraphFont"/>
    <w:link w:val="Heading4"/>
    <w:uiPriority w:val="9"/>
    <w:rsid w:val="00060FCB"/>
    <w:rPr>
      <w:rFonts w:ascii="Calibri Light" w:hAnsi="Calibri Light"/>
      <w:caps/>
      <w:color w:val="365F91" w:themeColor="accent1" w:themeShade="BF"/>
      <w:spacing w:val="10"/>
      <w:sz w:val="24"/>
    </w:rPr>
  </w:style>
  <w:style w:type="paragraph" w:styleId="Subtitle">
    <w:name w:val="Subtitle"/>
    <w:basedOn w:val="Normal"/>
    <w:next w:val="Normal"/>
    <w:link w:val="SubtitleChar"/>
    <w:uiPriority w:val="11"/>
    <w:qFormat/>
    <w:locked/>
    <w:rsid w:val="00132DCB"/>
    <w:pPr>
      <w:spacing w:after="1000" w:line="240" w:lineRule="auto"/>
    </w:pPr>
    <w:rPr>
      <w:rFonts w:ascii="Calibri Light" w:hAnsi="Calibri Light"/>
      <w:caps/>
      <w:color w:val="595959" w:themeColor="text1" w:themeTint="A6"/>
      <w:spacing w:val="10"/>
      <w:sz w:val="24"/>
      <w:szCs w:val="24"/>
    </w:rPr>
  </w:style>
  <w:style w:type="character" w:customStyle="1" w:styleId="SubtitleChar">
    <w:name w:val="Subtitle Char"/>
    <w:basedOn w:val="DefaultParagraphFont"/>
    <w:link w:val="Subtitle"/>
    <w:uiPriority w:val="11"/>
    <w:rsid w:val="00132DCB"/>
    <w:rPr>
      <w:rFonts w:ascii="Calibri Light" w:hAnsi="Calibri Light"/>
      <w:caps/>
      <w:color w:val="595959" w:themeColor="text1" w:themeTint="A6"/>
      <w:spacing w:val="10"/>
      <w:sz w:val="24"/>
      <w:szCs w:val="24"/>
    </w:rPr>
  </w:style>
  <w:style w:type="paragraph" w:styleId="Footer">
    <w:name w:val="footer"/>
    <w:basedOn w:val="Normal"/>
    <w:link w:val="FooterChar"/>
    <w:uiPriority w:val="99"/>
    <w:unhideWhenUsed/>
    <w:rsid w:val="00F437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371C"/>
    <w:rPr>
      <w:rFonts w:ascii="Tahoma" w:hAnsi="Tahoma"/>
    </w:rPr>
  </w:style>
  <w:style w:type="character" w:customStyle="1" w:styleId="Heading6Char">
    <w:name w:val="Heading 6 Char"/>
    <w:basedOn w:val="DefaultParagraphFont"/>
    <w:link w:val="Heading6"/>
    <w:uiPriority w:val="9"/>
    <w:semiHidden/>
    <w:rsid w:val="00CE32BB"/>
    <w:rPr>
      <w:caps/>
      <w:color w:val="365F91" w:themeColor="accent1" w:themeShade="BF"/>
      <w:spacing w:val="10"/>
    </w:rPr>
  </w:style>
  <w:style w:type="character" w:customStyle="1" w:styleId="Heading7Char">
    <w:name w:val="Heading 7 Char"/>
    <w:basedOn w:val="DefaultParagraphFont"/>
    <w:link w:val="Heading7"/>
    <w:uiPriority w:val="9"/>
    <w:semiHidden/>
    <w:rsid w:val="00CE32BB"/>
    <w:rPr>
      <w:caps/>
      <w:color w:val="365F91" w:themeColor="accent1" w:themeShade="BF"/>
      <w:spacing w:val="10"/>
    </w:rPr>
  </w:style>
  <w:style w:type="character" w:customStyle="1" w:styleId="Heading8Char">
    <w:name w:val="Heading 8 Char"/>
    <w:basedOn w:val="DefaultParagraphFont"/>
    <w:link w:val="Heading8"/>
    <w:uiPriority w:val="9"/>
    <w:semiHidden/>
    <w:rsid w:val="00CE32BB"/>
    <w:rPr>
      <w:caps/>
      <w:spacing w:val="10"/>
      <w:sz w:val="18"/>
      <w:szCs w:val="18"/>
    </w:rPr>
  </w:style>
  <w:style w:type="character" w:customStyle="1" w:styleId="Heading9Char">
    <w:name w:val="Heading 9 Char"/>
    <w:basedOn w:val="DefaultParagraphFont"/>
    <w:link w:val="Heading9"/>
    <w:uiPriority w:val="9"/>
    <w:semiHidden/>
    <w:rsid w:val="00CE32BB"/>
    <w:rPr>
      <w:i/>
      <w:caps/>
      <w:spacing w:val="10"/>
      <w:sz w:val="18"/>
      <w:szCs w:val="18"/>
    </w:rPr>
  </w:style>
  <w:style w:type="paragraph" w:styleId="Caption">
    <w:name w:val="caption"/>
    <w:basedOn w:val="Normal"/>
    <w:next w:val="Normal"/>
    <w:uiPriority w:val="35"/>
    <w:semiHidden/>
    <w:unhideWhenUsed/>
    <w:qFormat/>
    <w:locked/>
    <w:rsid w:val="00CE32BB"/>
    <w:rPr>
      <w:b/>
      <w:bCs/>
      <w:color w:val="365F91" w:themeColor="accent1" w:themeShade="BF"/>
      <w:sz w:val="16"/>
      <w:szCs w:val="16"/>
    </w:rPr>
  </w:style>
  <w:style w:type="character" w:styleId="Strong">
    <w:name w:val="Strong"/>
    <w:uiPriority w:val="22"/>
    <w:qFormat/>
    <w:locked/>
    <w:rsid w:val="00CE32BB"/>
    <w:rPr>
      <w:b/>
      <w:bCs/>
    </w:rPr>
  </w:style>
  <w:style w:type="character" w:styleId="Emphasis">
    <w:name w:val="Emphasis"/>
    <w:uiPriority w:val="20"/>
    <w:qFormat/>
    <w:locked/>
    <w:rsid w:val="00CE32BB"/>
    <w:rPr>
      <w:caps/>
      <w:color w:val="243F60" w:themeColor="accent1" w:themeShade="7F"/>
      <w:spacing w:val="5"/>
    </w:rPr>
  </w:style>
  <w:style w:type="paragraph" w:styleId="NoSpacing">
    <w:name w:val="No Spacing"/>
    <w:basedOn w:val="Normal"/>
    <w:link w:val="NoSpacingChar"/>
    <w:uiPriority w:val="1"/>
    <w:qFormat/>
    <w:rsid w:val="00CE32BB"/>
    <w:pPr>
      <w:spacing w:before="0" w:after="0" w:line="240" w:lineRule="auto"/>
    </w:pPr>
  </w:style>
  <w:style w:type="character" w:customStyle="1" w:styleId="NoSpacingChar">
    <w:name w:val="No Spacing Char"/>
    <w:basedOn w:val="DefaultParagraphFont"/>
    <w:link w:val="NoSpacing"/>
    <w:uiPriority w:val="1"/>
    <w:rsid w:val="00CE32BB"/>
    <w:rPr>
      <w:sz w:val="20"/>
      <w:szCs w:val="20"/>
    </w:rPr>
  </w:style>
  <w:style w:type="paragraph" w:styleId="Quote">
    <w:name w:val="Quote"/>
    <w:basedOn w:val="Normal"/>
    <w:next w:val="Normal"/>
    <w:link w:val="QuoteChar"/>
    <w:uiPriority w:val="29"/>
    <w:qFormat/>
    <w:rsid w:val="00CE32BB"/>
    <w:rPr>
      <w:i/>
      <w:iCs/>
    </w:rPr>
  </w:style>
  <w:style w:type="character" w:customStyle="1" w:styleId="QuoteChar">
    <w:name w:val="Quote Char"/>
    <w:basedOn w:val="DefaultParagraphFont"/>
    <w:link w:val="Quote"/>
    <w:uiPriority w:val="29"/>
    <w:rsid w:val="00CE32BB"/>
    <w:rPr>
      <w:i/>
      <w:iCs/>
      <w:sz w:val="20"/>
      <w:szCs w:val="20"/>
    </w:rPr>
  </w:style>
  <w:style w:type="paragraph" w:styleId="IntenseQuote">
    <w:name w:val="Intense Quote"/>
    <w:basedOn w:val="Normal"/>
    <w:next w:val="Normal"/>
    <w:link w:val="IntenseQuoteChar"/>
    <w:uiPriority w:val="30"/>
    <w:qFormat/>
    <w:rsid w:val="00CE32BB"/>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CE32BB"/>
    <w:rPr>
      <w:i/>
      <w:iCs/>
      <w:color w:val="4F81BD" w:themeColor="accent1"/>
      <w:sz w:val="20"/>
      <w:szCs w:val="20"/>
    </w:rPr>
  </w:style>
  <w:style w:type="character" w:styleId="SubtleEmphasis">
    <w:name w:val="Subtle Emphasis"/>
    <w:uiPriority w:val="19"/>
    <w:qFormat/>
    <w:rsid w:val="00CE32BB"/>
    <w:rPr>
      <w:i/>
      <w:iCs/>
      <w:color w:val="243F60" w:themeColor="accent1" w:themeShade="7F"/>
    </w:rPr>
  </w:style>
  <w:style w:type="character" w:styleId="IntenseEmphasis">
    <w:name w:val="Intense Emphasis"/>
    <w:uiPriority w:val="21"/>
    <w:qFormat/>
    <w:rsid w:val="00CE32BB"/>
    <w:rPr>
      <w:b/>
      <w:bCs/>
      <w:caps/>
      <w:color w:val="243F60" w:themeColor="accent1" w:themeShade="7F"/>
      <w:spacing w:val="10"/>
    </w:rPr>
  </w:style>
  <w:style w:type="character" w:styleId="SubtleReference">
    <w:name w:val="Subtle Reference"/>
    <w:uiPriority w:val="31"/>
    <w:qFormat/>
    <w:rsid w:val="00CE32BB"/>
    <w:rPr>
      <w:b/>
      <w:bCs/>
      <w:color w:val="4F81BD" w:themeColor="accent1"/>
    </w:rPr>
  </w:style>
  <w:style w:type="character" w:styleId="IntenseReference">
    <w:name w:val="Intense Reference"/>
    <w:uiPriority w:val="32"/>
    <w:qFormat/>
    <w:rsid w:val="00CE32BB"/>
    <w:rPr>
      <w:b/>
      <w:bCs/>
      <w:i/>
      <w:iCs/>
      <w:caps/>
      <w:color w:val="4F81BD" w:themeColor="accent1"/>
    </w:rPr>
  </w:style>
  <w:style w:type="character" w:styleId="BookTitle">
    <w:name w:val="Book Title"/>
    <w:uiPriority w:val="33"/>
    <w:qFormat/>
    <w:rsid w:val="00CE32BB"/>
    <w:rPr>
      <w:b/>
      <w:bCs/>
      <w:i/>
      <w:iCs/>
      <w:spacing w:val="9"/>
    </w:rPr>
  </w:style>
  <w:style w:type="paragraph" w:styleId="TOCHeading">
    <w:name w:val="TOC Heading"/>
    <w:basedOn w:val="Heading1"/>
    <w:next w:val="Normal"/>
    <w:uiPriority w:val="39"/>
    <w:semiHidden/>
    <w:unhideWhenUsed/>
    <w:qFormat/>
    <w:rsid w:val="00CE32BB"/>
    <w:pPr>
      <w:outlineLvl w:val="9"/>
    </w:pPr>
    <w:rPr>
      <w:lang w:bidi="en-US"/>
    </w:rPr>
  </w:style>
  <w:style w:type="character" w:customStyle="1" w:styleId="apple-converted-space">
    <w:name w:val="apple-converted-space"/>
    <w:basedOn w:val="DefaultParagraphFont"/>
    <w:rsid w:val="004E4B63"/>
  </w:style>
</w:styles>
</file>

<file path=word/webSettings.xml><?xml version="1.0" encoding="utf-8"?>
<w:webSettings xmlns:r="http://schemas.openxmlformats.org/officeDocument/2006/relationships" xmlns:w="http://schemas.openxmlformats.org/wordprocessingml/2006/main">
  <w:divs>
    <w:div w:id="192231568">
      <w:bodyDiv w:val="1"/>
      <w:marLeft w:val="0"/>
      <w:marRight w:val="0"/>
      <w:marTop w:val="0"/>
      <w:marBottom w:val="0"/>
      <w:divBdr>
        <w:top w:val="none" w:sz="0" w:space="0" w:color="auto"/>
        <w:left w:val="none" w:sz="0" w:space="0" w:color="auto"/>
        <w:bottom w:val="none" w:sz="0" w:space="0" w:color="auto"/>
        <w:right w:val="none" w:sz="0" w:space="0" w:color="auto"/>
      </w:divBdr>
    </w:div>
    <w:div w:id="1217474014">
      <w:bodyDiv w:val="1"/>
      <w:marLeft w:val="0"/>
      <w:marRight w:val="0"/>
      <w:marTop w:val="0"/>
      <w:marBottom w:val="0"/>
      <w:divBdr>
        <w:top w:val="none" w:sz="0" w:space="0" w:color="auto"/>
        <w:left w:val="none" w:sz="0" w:space="0" w:color="auto"/>
        <w:bottom w:val="none" w:sz="0" w:space="0" w:color="auto"/>
        <w:right w:val="none" w:sz="0" w:space="0" w:color="auto"/>
      </w:divBdr>
    </w:div>
    <w:div w:id="2097706389">
      <w:marLeft w:val="0"/>
      <w:marRight w:val="0"/>
      <w:marTop w:val="0"/>
      <w:marBottom w:val="0"/>
      <w:divBdr>
        <w:top w:val="none" w:sz="0" w:space="0" w:color="auto"/>
        <w:left w:val="none" w:sz="0" w:space="0" w:color="auto"/>
        <w:bottom w:val="none" w:sz="0" w:space="0" w:color="auto"/>
        <w:right w:val="none" w:sz="0" w:space="0" w:color="auto"/>
      </w:divBdr>
    </w:div>
    <w:div w:id="2097706390">
      <w:marLeft w:val="0"/>
      <w:marRight w:val="0"/>
      <w:marTop w:val="0"/>
      <w:marBottom w:val="0"/>
      <w:divBdr>
        <w:top w:val="none" w:sz="0" w:space="0" w:color="auto"/>
        <w:left w:val="none" w:sz="0" w:space="0" w:color="auto"/>
        <w:bottom w:val="none" w:sz="0" w:space="0" w:color="auto"/>
        <w:right w:val="none" w:sz="0" w:space="0" w:color="auto"/>
      </w:divBdr>
    </w:div>
    <w:div w:id="2097706391">
      <w:marLeft w:val="0"/>
      <w:marRight w:val="0"/>
      <w:marTop w:val="0"/>
      <w:marBottom w:val="0"/>
      <w:divBdr>
        <w:top w:val="none" w:sz="0" w:space="0" w:color="auto"/>
        <w:left w:val="none" w:sz="0" w:space="0" w:color="auto"/>
        <w:bottom w:val="none" w:sz="0" w:space="0" w:color="auto"/>
        <w:right w:val="none" w:sz="0" w:space="0" w:color="auto"/>
      </w:divBdr>
    </w:div>
    <w:div w:id="20977063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1/relationships/people" Target="peop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A62181-8591-4A5A-BB77-289D80753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TotalTime>
  <Pages>3</Pages>
  <Words>1120</Words>
  <Characters>5937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Multnomah County Comp Plan Update Memo Template</vt:lpstr>
    </vt:vector>
  </TitlesOfParts>
  <Company>HP</Company>
  <LinksUpToDate>false</LinksUpToDate>
  <CharactersWithSpaces>7043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Multnomah County Comp Plan Update Memo Template</dc:title>
  <dc:creator>Andrew Parish</dc:creator>
  <cp:lastModifiedBy>Rich Faith</cp:lastModifiedBy>
  <cp:revision>11</cp:revision>
  <cp:lastPrinted>2014-09-08T16:27:00Z</cp:lastPrinted>
  <dcterms:created xsi:type="dcterms:W3CDTF">2015-06-03T20:17:00Z</dcterms:created>
  <dcterms:modified xsi:type="dcterms:W3CDTF">2015-06-10T22:39:00Z</dcterms:modified>
</cp:coreProperties>
</file>