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E9B5" w14:textId="77777777" w:rsidR="00831F1C" w:rsidRDefault="000E6EDA" w:rsidP="00DB1E45">
      <w:pPr>
        <w:jc w:val="center"/>
        <w:rPr>
          <w:b/>
        </w:rPr>
      </w:pPr>
      <w:r>
        <w:rPr>
          <w:b/>
        </w:rPr>
        <w:t>SECOND</w:t>
      </w:r>
      <w:r w:rsidR="009F6E25">
        <w:rPr>
          <w:b/>
        </w:rPr>
        <w:t xml:space="preserve"> AMENDMENT TO </w:t>
      </w:r>
      <w:r w:rsidR="0063626F">
        <w:rPr>
          <w:b/>
        </w:rPr>
        <w:t>INTERGOVERNMENTAL</w:t>
      </w:r>
      <w:r w:rsidR="006C15E7">
        <w:rPr>
          <w:b/>
        </w:rPr>
        <w:t xml:space="preserve"> AGREEMENT</w:t>
      </w:r>
    </w:p>
    <w:p w14:paraId="52BDB4C5" w14:textId="77777777" w:rsidR="00FD7741" w:rsidRPr="00082599" w:rsidRDefault="00957FC1" w:rsidP="00FD7741">
      <w:pPr>
        <w:jc w:val="center"/>
        <w:rPr>
          <w:b/>
        </w:rPr>
      </w:pPr>
      <w:r w:rsidRPr="00082599">
        <w:rPr>
          <w:b/>
        </w:rPr>
        <w:t>BETWEEN</w:t>
      </w:r>
    </w:p>
    <w:p w14:paraId="52CCD89C" w14:textId="77777777" w:rsidR="00FD7741" w:rsidRPr="00082599" w:rsidRDefault="00957FC1" w:rsidP="00FD7741">
      <w:pPr>
        <w:jc w:val="center"/>
        <w:rPr>
          <w:b/>
        </w:rPr>
      </w:pPr>
      <w:r w:rsidRPr="00082599">
        <w:rPr>
          <w:b/>
        </w:rPr>
        <w:t>PORTLAND DEVELOPMENT COMMISSION</w:t>
      </w:r>
    </w:p>
    <w:p w14:paraId="179EB9DB" w14:textId="77777777" w:rsidR="00FD7741" w:rsidRPr="00082599" w:rsidRDefault="00957FC1" w:rsidP="00FD7741">
      <w:pPr>
        <w:jc w:val="center"/>
        <w:rPr>
          <w:b/>
        </w:rPr>
      </w:pPr>
      <w:r w:rsidRPr="00082599">
        <w:rPr>
          <w:b/>
        </w:rPr>
        <w:t>AND</w:t>
      </w:r>
    </w:p>
    <w:p w14:paraId="3F4CD097" w14:textId="77777777" w:rsidR="00FD7741" w:rsidRPr="00082599" w:rsidRDefault="00957FC1" w:rsidP="00FD7741">
      <w:pPr>
        <w:jc w:val="center"/>
        <w:rPr>
          <w:b/>
        </w:rPr>
      </w:pPr>
      <w:r w:rsidRPr="00082599">
        <w:rPr>
          <w:b/>
        </w:rPr>
        <w:t>MULTNOMAH COUNTY</w:t>
      </w:r>
    </w:p>
    <w:p w14:paraId="00EAF605" w14:textId="77777777" w:rsidR="00FD7741" w:rsidRPr="00082599" w:rsidRDefault="00FD7741" w:rsidP="00FD7741">
      <w:pPr>
        <w:jc w:val="center"/>
        <w:rPr>
          <w:b/>
        </w:rPr>
      </w:pPr>
      <w:r w:rsidRPr="00082599">
        <w:rPr>
          <w:b/>
        </w:rPr>
        <w:t xml:space="preserve">For the </w:t>
      </w:r>
    </w:p>
    <w:p w14:paraId="50ECC407" w14:textId="77777777" w:rsidR="00FD7741" w:rsidRPr="00082599" w:rsidRDefault="00FD7741" w:rsidP="00FD7741">
      <w:pPr>
        <w:jc w:val="center"/>
        <w:rPr>
          <w:b/>
        </w:rPr>
      </w:pPr>
      <w:r w:rsidRPr="00082599">
        <w:rPr>
          <w:b/>
        </w:rPr>
        <w:t>Multnomah County Health Department Building on the easterly portion of Block U</w:t>
      </w:r>
    </w:p>
    <w:p w14:paraId="262932D0" w14:textId="77777777" w:rsidR="0063626F" w:rsidRDefault="0063626F" w:rsidP="006C15E7">
      <w:pPr>
        <w:jc w:val="center"/>
      </w:pPr>
    </w:p>
    <w:p w14:paraId="158F1495" w14:textId="77777777" w:rsidR="009F6E25" w:rsidRDefault="009F6E25">
      <w:pPr>
        <w:rPr>
          <w:b/>
        </w:rPr>
      </w:pPr>
    </w:p>
    <w:p w14:paraId="2D154264" w14:textId="77777777" w:rsidR="009F6E25" w:rsidRDefault="009F6E25" w:rsidP="00957FC1">
      <w:pPr>
        <w:jc w:val="both"/>
      </w:pPr>
      <w:r>
        <w:tab/>
      </w:r>
      <w:r w:rsidR="00FD7741">
        <w:t xml:space="preserve">THIS </w:t>
      </w:r>
      <w:r w:rsidR="000E6EDA">
        <w:t>SECOND</w:t>
      </w:r>
      <w:r w:rsidR="00FD7741">
        <w:t xml:space="preserve"> AMENDMENT TO INTERGOVERNMENTAL AGREEMENT </w:t>
      </w:r>
      <w:r>
        <w:t>is made as of __________</w:t>
      </w:r>
      <w:r w:rsidR="00FD7741">
        <w:t>_______</w:t>
      </w:r>
      <w:r>
        <w:t xml:space="preserve">, </w:t>
      </w:r>
      <w:r w:rsidR="00F8055C">
        <w:t>2015</w:t>
      </w:r>
      <w:r>
        <w:t xml:space="preserve"> (“</w:t>
      </w:r>
      <w:r w:rsidR="000E6EDA">
        <w:t>Second</w:t>
      </w:r>
      <w:r w:rsidR="0063626F">
        <w:t xml:space="preserve"> </w:t>
      </w:r>
      <w:r>
        <w:t xml:space="preserve">Amendment”) between </w:t>
      </w:r>
      <w:r w:rsidR="000F65B4">
        <w:t>MULTNOMAH COUNTY</w:t>
      </w:r>
      <w:r w:rsidR="0063626F">
        <w:t xml:space="preserve">, </w:t>
      </w:r>
      <w:r w:rsidR="00FD7741" w:rsidRPr="00082599">
        <w:t>a political subdivision of the State of</w:t>
      </w:r>
      <w:r w:rsidR="00FD7741">
        <w:t xml:space="preserve"> Oregon</w:t>
      </w:r>
      <w:r w:rsidR="0063626F">
        <w:t xml:space="preserve"> (</w:t>
      </w:r>
      <w:r w:rsidR="000F65B4">
        <w:t xml:space="preserve">the </w:t>
      </w:r>
      <w:r w:rsidR="0063626F">
        <w:t>“County”)</w:t>
      </w:r>
      <w:r w:rsidR="00FD7741">
        <w:t xml:space="preserve"> and</w:t>
      </w:r>
      <w:r w:rsidR="0063626F">
        <w:t xml:space="preserve"> </w:t>
      </w:r>
      <w:r w:rsidR="00FD7741" w:rsidRPr="00082599">
        <w:t xml:space="preserve">the PORTLAND DEVELOPMENT COMMISSION, in its capacity as </w:t>
      </w:r>
      <w:proofErr w:type="gramStart"/>
      <w:r w:rsidR="00FD7741" w:rsidRPr="00082599">
        <w:t>an urban</w:t>
      </w:r>
      <w:proofErr w:type="gramEnd"/>
      <w:r w:rsidR="00FD7741" w:rsidRPr="00082599">
        <w:t xml:space="preserve"> renewal agency acting under ORS Chapter 457 (“PD</w:t>
      </w:r>
      <w:r w:rsidR="0000717C">
        <w:t xml:space="preserve">C”).  </w:t>
      </w:r>
      <w:r w:rsidR="000F65B4">
        <w:t xml:space="preserve">The </w:t>
      </w:r>
      <w:r w:rsidR="00FD7741" w:rsidRPr="00082599">
        <w:t>County and PDC may be r</w:t>
      </w:r>
      <w:r w:rsidR="00FD7741">
        <w:t xml:space="preserve">eferred to jointly in this </w:t>
      </w:r>
      <w:r w:rsidR="000E6EDA">
        <w:t>Second</w:t>
      </w:r>
      <w:r w:rsidR="00FD7741">
        <w:t xml:space="preserve"> Amend</w:t>
      </w:r>
      <w:r w:rsidR="00FD7741" w:rsidRPr="00082599">
        <w:t>ment as the “Parties” and individually as a “Party.”</w:t>
      </w:r>
    </w:p>
    <w:p w14:paraId="23A0BAE4" w14:textId="77777777" w:rsidR="009F6E25" w:rsidRDefault="009F6E25" w:rsidP="00957FC1"/>
    <w:p w14:paraId="682E7805" w14:textId="77777777" w:rsidR="009F6E25" w:rsidRDefault="009F6E25" w:rsidP="00957FC1">
      <w:pPr>
        <w:jc w:val="center"/>
        <w:rPr>
          <w:b/>
        </w:rPr>
      </w:pPr>
      <w:r>
        <w:rPr>
          <w:b/>
        </w:rPr>
        <w:t>RECITALS</w:t>
      </w:r>
      <w:r w:rsidR="00957FC1">
        <w:rPr>
          <w:b/>
        </w:rPr>
        <w:t>:</w:t>
      </w:r>
    </w:p>
    <w:p w14:paraId="59BF44B0" w14:textId="77777777" w:rsidR="0023755A" w:rsidRDefault="0023755A" w:rsidP="00957FC1">
      <w:pPr>
        <w:ind w:left="1080"/>
        <w:jc w:val="both"/>
      </w:pPr>
    </w:p>
    <w:p w14:paraId="19BAEADB" w14:textId="77777777" w:rsidR="009F6E25" w:rsidRDefault="00570344" w:rsidP="004F0631">
      <w:pPr>
        <w:numPr>
          <w:ilvl w:val="0"/>
          <w:numId w:val="2"/>
        </w:numPr>
        <w:ind w:hanging="720"/>
        <w:jc w:val="both"/>
      </w:pPr>
      <w:r w:rsidRPr="00082599">
        <w:t xml:space="preserve">Pursuant to ORS 457.470(10)(e), PDC is obligated to provide </w:t>
      </w:r>
      <w:r w:rsidR="0000717C">
        <w:t xml:space="preserve">direct economic benefits to </w:t>
      </w:r>
      <w:r w:rsidR="000F65B4">
        <w:t>the County</w:t>
      </w:r>
      <w:r w:rsidRPr="00082599">
        <w:t xml:space="preserve"> from the</w:t>
      </w:r>
      <w:r w:rsidR="00B01C03">
        <w:t xml:space="preserve"> </w:t>
      </w:r>
      <w:r w:rsidR="00B01C03" w:rsidRPr="004A2829">
        <w:rPr>
          <w:color w:val="000000"/>
        </w:rPr>
        <w:t>River District Urban Renewal</w:t>
      </w:r>
      <w:r w:rsidR="00B01C03">
        <w:rPr>
          <w:color w:val="000000"/>
        </w:rPr>
        <w:t xml:space="preserve"> Area</w:t>
      </w:r>
      <w:r w:rsidRPr="00082599">
        <w:t xml:space="preserve"> </w:t>
      </w:r>
      <w:r w:rsidR="00B01C03">
        <w:t>(“</w:t>
      </w:r>
      <w:r w:rsidRPr="00082599">
        <w:t>URA</w:t>
      </w:r>
      <w:r w:rsidR="00B01C03">
        <w:t>”)</w:t>
      </w:r>
      <w:r w:rsidRPr="00082599">
        <w:t xml:space="preserve"> equal to 10.18% of the </w:t>
      </w:r>
      <w:r w:rsidR="00B01C03" w:rsidRPr="004A2829">
        <w:rPr>
          <w:color w:val="000000"/>
        </w:rPr>
        <w:t>River District Urban Renewal Plan</w:t>
      </w:r>
      <w:r w:rsidR="00B01C03">
        <w:rPr>
          <w:color w:val="000000"/>
        </w:rPr>
        <w:t>’s (the “Plan”)</w:t>
      </w:r>
      <w:r w:rsidR="00DC65D1">
        <w:t xml:space="preserve"> </w:t>
      </w:r>
      <w:r w:rsidRPr="00082599">
        <w:t>maximum indebtedness after June 1, 2008.  The resultant $26,948,460 is payable to the County as follows: (1) $10,000,000 no later than June 30, 2014 (the “Initial P</w:t>
      </w:r>
      <w:r w:rsidR="00DC65D1">
        <w:t xml:space="preserve">ayment”); and (ii) the balance of </w:t>
      </w:r>
      <w:r w:rsidRPr="00082599">
        <w:t>$16,948,460 on June 30, 2021 (the “Final Payment”)</w:t>
      </w:r>
      <w:r w:rsidR="00426043">
        <w:t>.</w:t>
      </w:r>
    </w:p>
    <w:p w14:paraId="32D0A202" w14:textId="77777777" w:rsidR="00722FA7" w:rsidRDefault="00722FA7" w:rsidP="004F0631">
      <w:pPr>
        <w:pStyle w:val="ListParagraph"/>
        <w:ind w:left="1080" w:hanging="720"/>
        <w:jc w:val="both"/>
      </w:pPr>
    </w:p>
    <w:p w14:paraId="08E40763" w14:textId="77777777" w:rsidR="00F37269" w:rsidRDefault="000F65B4" w:rsidP="00F37269">
      <w:pPr>
        <w:numPr>
          <w:ilvl w:val="0"/>
          <w:numId w:val="2"/>
        </w:numPr>
        <w:spacing w:after="120"/>
        <w:ind w:hanging="720"/>
        <w:jc w:val="both"/>
      </w:pPr>
      <w:r>
        <w:t>The County</w:t>
      </w:r>
      <w:r w:rsidR="00570344">
        <w:t xml:space="preserve"> and PDC entered into that certain Intergovernmental </w:t>
      </w:r>
      <w:r w:rsidR="00570344" w:rsidRPr="00570344">
        <w:t>Agreement for the</w:t>
      </w:r>
      <w:r w:rsidR="00570344" w:rsidRPr="006A0673">
        <w:rPr>
          <w:b/>
        </w:rPr>
        <w:t xml:space="preserve"> </w:t>
      </w:r>
      <w:r w:rsidR="00570344" w:rsidRPr="00570344">
        <w:t>Multnomah County Health Department</w:t>
      </w:r>
      <w:r w:rsidR="00570344">
        <w:t xml:space="preserve"> </w:t>
      </w:r>
      <w:r w:rsidR="00570344" w:rsidRPr="00570344">
        <w:t>Building on the easterly portion of Block U</w:t>
      </w:r>
      <w:r w:rsidR="00570344">
        <w:t xml:space="preserve"> effective November 13, 2012, pursuant to which PDC agreed to accelerate disbursement of the Final Payment to June 30, 2014, contemporaneous with the Initial Payment (the “Original Agreement”)</w:t>
      </w:r>
      <w:r w:rsidR="006A0673">
        <w:t>, t</w:t>
      </w:r>
      <w:r w:rsidR="00E92EF5">
        <w:t xml:space="preserve">o enable </w:t>
      </w:r>
      <w:r>
        <w:t>the County</w:t>
      </w:r>
      <w:r w:rsidR="006A0673" w:rsidRPr="00082599">
        <w:t xml:space="preserve"> to commence construction of the </w:t>
      </w:r>
      <w:r>
        <w:t>County</w:t>
      </w:r>
      <w:r w:rsidR="006A0673" w:rsidRPr="00082599">
        <w:t xml:space="preserve">’s Health Department (“MCHD”) </w:t>
      </w:r>
      <w:r w:rsidR="006A0673">
        <w:t>headquarters building on the U2 Block (the “</w:t>
      </w:r>
      <w:r w:rsidR="006A0673" w:rsidRPr="00082599">
        <w:t>Project</w:t>
      </w:r>
      <w:r w:rsidR="006A0673">
        <w:t>”) during the summer of 2014.</w:t>
      </w:r>
    </w:p>
    <w:p w14:paraId="2EFC2095" w14:textId="77777777" w:rsidR="004A2829" w:rsidRDefault="004A2829" w:rsidP="00F37269">
      <w:pPr>
        <w:numPr>
          <w:ilvl w:val="0"/>
          <w:numId w:val="2"/>
        </w:numPr>
        <w:spacing w:after="120"/>
        <w:ind w:hanging="720"/>
        <w:jc w:val="both"/>
      </w:pPr>
      <w:r w:rsidRPr="00082599">
        <w:t>Concurrent with th</w:t>
      </w:r>
      <w:r>
        <w:t>e Original</w:t>
      </w:r>
      <w:r w:rsidRPr="00082599">
        <w:t xml:space="preserve"> Agreement, PDC </w:t>
      </w:r>
      <w:r>
        <w:t>also</w:t>
      </w:r>
      <w:r w:rsidRPr="00082599">
        <w:t xml:space="preserve"> amend</w:t>
      </w:r>
      <w:r>
        <w:t>ed</w:t>
      </w:r>
      <w:r w:rsidRPr="00082599">
        <w:t xml:space="preserve"> the </w:t>
      </w:r>
      <w:r w:rsidRPr="00F37269">
        <w:rPr>
          <w:color w:val="000000"/>
        </w:rPr>
        <w:t xml:space="preserve">Plan </w:t>
      </w:r>
      <w:r w:rsidRPr="00082599">
        <w:t xml:space="preserve">to allow for the expenditure in connection with the </w:t>
      </w:r>
      <w:proofErr w:type="gramStart"/>
      <w:r w:rsidRPr="00082599">
        <w:t>Project which</w:t>
      </w:r>
      <w:proofErr w:type="gramEnd"/>
      <w:r w:rsidRPr="00082599">
        <w:t xml:space="preserve"> is a public building.</w:t>
      </w:r>
    </w:p>
    <w:p w14:paraId="197AAFC6" w14:textId="77777777" w:rsidR="003C3192" w:rsidRPr="003C3192" w:rsidRDefault="003C3192" w:rsidP="004F0631">
      <w:pPr>
        <w:ind w:left="1080" w:hanging="720"/>
        <w:jc w:val="both"/>
      </w:pPr>
      <w:r w:rsidRPr="003E02A7">
        <w:t>4.</w:t>
      </w:r>
      <w:r w:rsidRPr="003E02A7">
        <w:tab/>
      </w:r>
      <w:r w:rsidRPr="003E02A7">
        <w:rPr>
          <w:color w:val="000000" w:themeColor="text1"/>
        </w:rPr>
        <w:t xml:space="preserve">To support the development of the Project, </w:t>
      </w:r>
      <w:bookmarkStart w:id="0" w:name="_DV_M40"/>
      <w:bookmarkEnd w:id="0"/>
      <w:r w:rsidR="000F65B4">
        <w:t>the County</w:t>
      </w:r>
      <w:r w:rsidRPr="003E02A7">
        <w:rPr>
          <w:color w:val="000000" w:themeColor="text1"/>
        </w:rPr>
        <w:t xml:space="preserve"> and</w:t>
      </w:r>
      <w:r w:rsidR="003E02A7" w:rsidRPr="003E02A7">
        <w:rPr>
          <w:color w:val="000000" w:themeColor="text1"/>
        </w:rPr>
        <w:t xml:space="preserve"> the </w:t>
      </w:r>
      <w:r w:rsidR="003E02A7" w:rsidRPr="003E02A7">
        <w:rPr>
          <w:bCs/>
          <w:color w:val="000000" w:themeColor="text1"/>
        </w:rPr>
        <w:t>C</w:t>
      </w:r>
      <w:r w:rsidR="0000717C">
        <w:rPr>
          <w:bCs/>
          <w:color w:val="000000" w:themeColor="text1"/>
        </w:rPr>
        <w:t>ity</w:t>
      </w:r>
      <w:r w:rsidR="003E02A7" w:rsidRPr="003E02A7">
        <w:rPr>
          <w:bCs/>
          <w:color w:val="000000" w:themeColor="text1"/>
        </w:rPr>
        <w:t xml:space="preserve"> </w:t>
      </w:r>
      <w:r w:rsidR="0000717C">
        <w:rPr>
          <w:bCs/>
          <w:color w:val="000000" w:themeColor="text1"/>
        </w:rPr>
        <w:t>of</w:t>
      </w:r>
      <w:r w:rsidR="003E02A7" w:rsidRPr="003E02A7">
        <w:rPr>
          <w:bCs/>
          <w:color w:val="000000" w:themeColor="text1"/>
        </w:rPr>
        <w:t xml:space="preserve"> P</w:t>
      </w:r>
      <w:r w:rsidR="0000717C">
        <w:rPr>
          <w:bCs/>
          <w:color w:val="000000" w:themeColor="text1"/>
        </w:rPr>
        <w:t>ortland</w:t>
      </w:r>
      <w:r w:rsidR="003E02A7" w:rsidRPr="00C55D73">
        <w:rPr>
          <w:color w:val="000000" w:themeColor="text1"/>
        </w:rPr>
        <w:t xml:space="preserve">, a municipal corporation of the State of Oregon, acting by and through the </w:t>
      </w:r>
      <w:r w:rsidR="003E02A7" w:rsidRPr="003E02A7">
        <w:rPr>
          <w:bCs/>
          <w:caps/>
          <w:color w:val="000000" w:themeColor="text1"/>
        </w:rPr>
        <w:t xml:space="preserve">PORTLAND HOUSING BUREAU </w:t>
      </w:r>
      <w:r w:rsidR="003E02A7" w:rsidRPr="003E02A7">
        <w:rPr>
          <w:color w:val="000000" w:themeColor="text1"/>
        </w:rPr>
        <w:t>(</w:t>
      </w:r>
      <w:r w:rsidR="003E02A7" w:rsidRPr="003E02A7">
        <w:rPr>
          <w:bCs/>
          <w:color w:val="000000" w:themeColor="text1"/>
        </w:rPr>
        <w:t>“PHB”</w:t>
      </w:r>
      <w:r w:rsidR="003E02A7" w:rsidRPr="003E02A7">
        <w:rPr>
          <w:color w:val="000000" w:themeColor="text1"/>
        </w:rPr>
        <w:t>),</w:t>
      </w:r>
      <w:r w:rsidRPr="003C3192">
        <w:rPr>
          <w:color w:val="000000" w:themeColor="text1"/>
        </w:rPr>
        <w:t xml:space="preserve"> </w:t>
      </w:r>
      <w:bookmarkStart w:id="1" w:name="_DV_M41"/>
      <w:bookmarkStart w:id="2" w:name="_DV_M42"/>
      <w:bookmarkEnd w:id="1"/>
      <w:bookmarkEnd w:id="2"/>
      <w:r w:rsidRPr="003C3192">
        <w:rPr>
          <w:color w:val="000000" w:themeColor="text1"/>
        </w:rPr>
        <w:t xml:space="preserve">negotiated the terms of </w:t>
      </w:r>
      <w:bookmarkStart w:id="3" w:name="_DV_C47"/>
      <w:r w:rsidRPr="003C3192">
        <w:rPr>
          <w:rStyle w:val="DeltaViewInsertion"/>
          <w:color w:val="000000" w:themeColor="text1"/>
          <w:u w:val="none"/>
        </w:rPr>
        <w:t xml:space="preserve">and </w:t>
      </w:r>
      <w:r w:rsidR="003E02A7">
        <w:rPr>
          <w:rStyle w:val="DeltaViewInsertion"/>
          <w:color w:val="000000" w:themeColor="text1"/>
          <w:u w:val="none"/>
        </w:rPr>
        <w:t>entered into an</w:t>
      </w:r>
      <w:r w:rsidRPr="003C3192">
        <w:rPr>
          <w:rStyle w:val="DeltaViewInsertion"/>
          <w:color w:val="000000" w:themeColor="text1"/>
          <w:u w:val="none"/>
        </w:rPr>
        <w:t xml:space="preserve"> Agreement</w:t>
      </w:r>
      <w:r w:rsidR="003E02A7">
        <w:rPr>
          <w:rStyle w:val="DeltaViewInsertion"/>
          <w:color w:val="000000" w:themeColor="text1"/>
          <w:u w:val="none"/>
        </w:rPr>
        <w:t xml:space="preserve"> for Disposition</w:t>
      </w:r>
      <w:r w:rsidR="0062232C">
        <w:rPr>
          <w:rStyle w:val="DeltaViewInsertion"/>
          <w:color w:val="000000" w:themeColor="text1"/>
          <w:u w:val="none"/>
        </w:rPr>
        <w:t xml:space="preserve"> of Property</w:t>
      </w:r>
      <w:r w:rsidR="00DC65D1">
        <w:rPr>
          <w:rStyle w:val="DeltaViewInsertion"/>
          <w:color w:val="000000" w:themeColor="text1"/>
          <w:u w:val="none"/>
        </w:rPr>
        <w:t xml:space="preserve"> </w:t>
      </w:r>
      <w:r w:rsidRPr="003C3192">
        <w:rPr>
          <w:rStyle w:val="DeltaViewInsertion"/>
          <w:color w:val="000000" w:themeColor="text1"/>
          <w:u w:val="none"/>
        </w:rPr>
        <w:t>provid</w:t>
      </w:r>
      <w:r w:rsidR="00DC65D1">
        <w:rPr>
          <w:rStyle w:val="DeltaViewInsertion"/>
          <w:color w:val="000000" w:themeColor="text1"/>
          <w:u w:val="none"/>
        </w:rPr>
        <w:t>ing</w:t>
      </w:r>
      <w:r w:rsidRPr="003C3192">
        <w:rPr>
          <w:rStyle w:val="DeltaViewInsertion"/>
          <w:color w:val="000000" w:themeColor="text1"/>
          <w:u w:val="none"/>
        </w:rPr>
        <w:t xml:space="preserve"> for PHB’s conveyance of</w:t>
      </w:r>
      <w:bookmarkStart w:id="4" w:name="_DV_M43"/>
      <w:bookmarkEnd w:id="3"/>
      <w:bookmarkEnd w:id="4"/>
      <w:r w:rsidRPr="003C3192">
        <w:rPr>
          <w:color w:val="000000" w:themeColor="text1"/>
        </w:rPr>
        <w:t xml:space="preserve"> the Property to </w:t>
      </w:r>
      <w:bookmarkStart w:id="5" w:name="_DV_M44"/>
      <w:bookmarkEnd w:id="5"/>
      <w:r w:rsidR="000F65B4">
        <w:t>the County</w:t>
      </w:r>
      <w:r w:rsidRPr="003C3192">
        <w:rPr>
          <w:color w:val="000000" w:themeColor="text1"/>
        </w:rPr>
        <w:t xml:space="preserve"> at no cost to the Project.</w:t>
      </w:r>
    </w:p>
    <w:p w14:paraId="12B608E3" w14:textId="77777777" w:rsidR="00957FC1" w:rsidRPr="003C3192" w:rsidRDefault="00957FC1" w:rsidP="004F0631">
      <w:pPr>
        <w:ind w:left="1080" w:hanging="720"/>
        <w:jc w:val="both"/>
      </w:pPr>
    </w:p>
    <w:p w14:paraId="6C7FAAA7" w14:textId="77777777" w:rsidR="009F6E25" w:rsidRDefault="003E02A7" w:rsidP="004F0631">
      <w:pPr>
        <w:ind w:left="1080" w:hanging="720"/>
        <w:jc w:val="both"/>
      </w:pPr>
      <w:r>
        <w:t>5.</w:t>
      </w:r>
      <w:r>
        <w:tab/>
      </w:r>
      <w:r w:rsidR="001250C4">
        <w:t>As required by the URA, PDC made the Initial Payment to the County o</w:t>
      </w:r>
      <w:r w:rsidR="00F868E0">
        <w:t>n</w:t>
      </w:r>
      <w:r w:rsidR="001250C4">
        <w:t xml:space="preserve"> or before June 30, 2014.  </w:t>
      </w:r>
      <w:r w:rsidR="00F8055C">
        <w:t xml:space="preserve">By a First Amendment to the Original Agreement, dated June </w:t>
      </w:r>
      <w:r w:rsidR="001250C4">
        <w:t>27</w:t>
      </w:r>
      <w:r w:rsidR="00F8055C">
        <w:t xml:space="preserve">, 2014, </w:t>
      </w:r>
      <w:r w:rsidR="001250C4">
        <w:t>t</w:t>
      </w:r>
      <w:r w:rsidR="000F65B4">
        <w:t>he County</w:t>
      </w:r>
      <w:r w:rsidR="00426043">
        <w:t xml:space="preserve"> and PDC </w:t>
      </w:r>
      <w:r w:rsidR="00F8055C">
        <w:t>agreed</w:t>
      </w:r>
      <w:r w:rsidR="00426043">
        <w:t xml:space="preserve"> to extend the deadline </w:t>
      </w:r>
      <w:r w:rsidR="004A2829">
        <w:t xml:space="preserve">for </w:t>
      </w:r>
      <w:r w:rsidR="004A2829">
        <w:lastRenderedPageBreak/>
        <w:t>the Final Payment from June 30, 2014, to June 30, 2015,</w:t>
      </w:r>
      <w:r w:rsidR="00426043">
        <w:t xml:space="preserve"> to provide </w:t>
      </w:r>
      <w:r w:rsidR="00135EA0">
        <w:t xml:space="preserve">additional </w:t>
      </w:r>
      <w:r w:rsidR="00426043">
        <w:t>time</w:t>
      </w:r>
      <w:r w:rsidR="00E92EF5">
        <w:t xml:space="preserve"> for </w:t>
      </w:r>
      <w:r w:rsidR="000F65B4">
        <w:t>the County</w:t>
      </w:r>
      <w:r w:rsidR="00135EA0">
        <w:t xml:space="preserve"> to finish design</w:t>
      </w:r>
      <w:r w:rsidR="0000717C">
        <w:t xml:space="preserve"> and</w:t>
      </w:r>
      <w:r w:rsidR="00135EA0">
        <w:t xml:space="preserve"> engineering</w:t>
      </w:r>
      <w:r w:rsidR="0000717C">
        <w:t xml:space="preserve"> of</w:t>
      </w:r>
      <w:r w:rsidR="00135EA0">
        <w:t xml:space="preserve"> and obtaining entitlements for the Project, which are all</w:t>
      </w:r>
      <w:r w:rsidR="0000717C">
        <w:t xml:space="preserve"> required pre-conditions to </w:t>
      </w:r>
      <w:r w:rsidR="000F65B4">
        <w:t>the County</w:t>
      </w:r>
      <w:r w:rsidR="00135EA0">
        <w:t>’s acquisition of the U2 Block</w:t>
      </w:r>
      <w:r w:rsidR="00957FC1">
        <w:t xml:space="preserve"> from </w:t>
      </w:r>
      <w:r w:rsidR="00135EA0">
        <w:t>PHB</w:t>
      </w:r>
      <w:r w:rsidR="00123747">
        <w:t xml:space="preserve"> (as amended</w:t>
      </w:r>
      <w:r w:rsidR="00F37269">
        <w:t>, the “Amended Agreement”)</w:t>
      </w:r>
      <w:r w:rsidR="00135EA0">
        <w:t>.</w:t>
      </w:r>
    </w:p>
    <w:p w14:paraId="78C2BFBA" w14:textId="77777777" w:rsidR="00F37269" w:rsidRDefault="00F37269" w:rsidP="004F0631">
      <w:pPr>
        <w:ind w:left="1080" w:hanging="720"/>
        <w:jc w:val="both"/>
      </w:pPr>
    </w:p>
    <w:p w14:paraId="62423489" w14:textId="77777777" w:rsidR="00C67F61" w:rsidRDefault="00F37269" w:rsidP="004F0631">
      <w:pPr>
        <w:ind w:left="1080" w:hanging="720"/>
        <w:jc w:val="both"/>
      </w:pPr>
      <w:r>
        <w:t>6.</w:t>
      </w:r>
      <w:r>
        <w:tab/>
      </w:r>
      <w:r w:rsidR="00255852">
        <w:t xml:space="preserve">Since June 30, 2014, the County has </w:t>
      </w:r>
      <w:r w:rsidR="000A684C">
        <w:t>evaluated</w:t>
      </w:r>
      <w:r w:rsidR="00255852">
        <w:t xml:space="preserve"> </w:t>
      </w:r>
      <w:r w:rsidR="000A684C">
        <w:t xml:space="preserve">the </w:t>
      </w:r>
      <w:r w:rsidR="005A20CF">
        <w:t>estimated</w:t>
      </w:r>
      <w:r w:rsidR="00255852">
        <w:t xml:space="preserve"> </w:t>
      </w:r>
      <w:r w:rsidR="005A20CF">
        <w:t xml:space="preserve">Project </w:t>
      </w:r>
      <w:r w:rsidR="00255852">
        <w:t>costs</w:t>
      </w:r>
      <w:r w:rsidR="000A684C">
        <w:t xml:space="preserve">, which are substantially higher than </w:t>
      </w:r>
      <w:r w:rsidR="00F8668C">
        <w:t>2012</w:t>
      </w:r>
      <w:r w:rsidR="000A684C">
        <w:t xml:space="preserve"> estimates</w:t>
      </w:r>
      <w:r w:rsidR="00F868E0">
        <w:t>;</w:t>
      </w:r>
      <w:r w:rsidR="005A20CF">
        <w:t xml:space="preserve"> </w:t>
      </w:r>
      <w:r w:rsidR="000A684C">
        <w:t xml:space="preserve">the </w:t>
      </w:r>
      <w:r w:rsidR="005A20CF">
        <w:t>design and programming constraints on the U2 Block as now zoned</w:t>
      </w:r>
      <w:r w:rsidR="00F868E0">
        <w:t>;</w:t>
      </w:r>
      <w:r w:rsidR="005A20CF">
        <w:t xml:space="preserve"> and alternate sites</w:t>
      </w:r>
      <w:r w:rsidR="00F757A0">
        <w:t xml:space="preserve"> for </w:t>
      </w:r>
      <w:r w:rsidR="00C67F61">
        <w:t>MCHD</w:t>
      </w:r>
      <w:r w:rsidR="00F757A0">
        <w:t xml:space="preserve"> programs that </w:t>
      </w:r>
      <w:r w:rsidR="00F8668C">
        <w:t>may</w:t>
      </w:r>
      <w:r w:rsidR="00F757A0">
        <w:t xml:space="preserve"> not </w:t>
      </w:r>
      <w:r w:rsidR="00C67F61">
        <w:t xml:space="preserve">be accommodated in the permitted </w:t>
      </w:r>
      <w:r w:rsidR="00E00533">
        <w:t xml:space="preserve">U2 Block </w:t>
      </w:r>
      <w:r w:rsidR="00C67F61">
        <w:t>building envelope</w:t>
      </w:r>
      <w:r w:rsidR="005A20CF">
        <w:t xml:space="preserve">.  The County and Home Forward </w:t>
      </w:r>
      <w:r w:rsidR="00C67F61">
        <w:t>entered into a</w:t>
      </w:r>
      <w:r w:rsidR="005A20CF">
        <w:t xml:space="preserve"> </w:t>
      </w:r>
      <w:r w:rsidR="00C67F61">
        <w:t>T</w:t>
      </w:r>
      <w:r w:rsidR="005A20CF">
        <w:t>erminat</w:t>
      </w:r>
      <w:r w:rsidR="00C67F61">
        <w:t>ion and R</w:t>
      </w:r>
      <w:r w:rsidR="005A20CF">
        <w:t>e</w:t>
      </w:r>
      <w:r w:rsidR="00C67F61">
        <w:t>lease of</w:t>
      </w:r>
      <w:r w:rsidR="005A20CF">
        <w:t xml:space="preserve"> the</w:t>
      </w:r>
      <w:r w:rsidR="00C67F61">
        <w:t>ir</w:t>
      </w:r>
      <w:r w:rsidR="005A20CF">
        <w:t xml:space="preserve"> Development Agreement</w:t>
      </w:r>
      <w:r w:rsidR="00C67F61">
        <w:t xml:space="preserve"> for the Project</w:t>
      </w:r>
      <w:r w:rsidR="005A20CF">
        <w:t xml:space="preserve">, </w:t>
      </w:r>
      <w:r w:rsidR="002A2302">
        <w:t xml:space="preserve">and the County is proceeding to develop the Project in compliance with the Amended Agreement and this Second Amendment, </w:t>
      </w:r>
      <w:r w:rsidR="005A20CF">
        <w:t xml:space="preserve">permitting the County to </w:t>
      </w:r>
      <w:r w:rsidR="00BE6286">
        <w:t>reevaluate the entire Project strategy</w:t>
      </w:r>
      <w:r w:rsidR="00C67F61">
        <w:t xml:space="preserve"> and file </w:t>
      </w:r>
      <w:r w:rsidR="00BE6286">
        <w:t xml:space="preserve">an application with the City of Portland for zoning amendments to increase the base height limit on the U2 Block from 75 feet to 105 feet and to make the site eligible for FAR bonuses.  </w:t>
      </w:r>
    </w:p>
    <w:p w14:paraId="20E65040" w14:textId="77777777" w:rsidR="00C67F61" w:rsidRDefault="00C67F61" w:rsidP="004F0631">
      <w:pPr>
        <w:ind w:left="1080" w:hanging="720"/>
        <w:jc w:val="both"/>
      </w:pPr>
    </w:p>
    <w:p w14:paraId="3EA170FB" w14:textId="77777777" w:rsidR="00BE6286" w:rsidRDefault="00C67F61" w:rsidP="004F0631">
      <w:pPr>
        <w:ind w:left="1080" w:hanging="720"/>
        <w:jc w:val="both"/>
      </w:pPr>
      <w:r>
        <w:t>7.</w:t>
      </w:r>
      <w:r>
        <w:tab/>
      </w:r>
      <w:r w:rsidR="00BE6286">
        <w:t>The City</w:t>
      </w:r>
      <w:r w:rsidR="00F868E0">
        <w:t xml:space="preserve"> of Portland</w:t>
      </w:r>
      <w:r w:rsidR="00BE6286">
        <w:t xml:space="preserve"> Planning and Sustainability Commission recommended approval of the </w:t>
      </w:r>
      <w:r>
        <w:t xml:space="preserve">zoning </w:t>
      </w:r>
      <w:r w:rsidR="00BE6286">
        <w:t>amendments following a public hearing on April 28, 2015, and the City Council is scheduled to consider the</w:t>
      </w:r>
      <w:r w:rsidR="00F868E0">
        <w:t xml:space="preserve"> a</w:t>
      </w:r>
      <w:r w:rsidR="00BE6286">
        <w:t>m</w:t>
      </w:r>
      <w:r w:rsidR="00F868E0">
        <w:t>endments</w:t>
      </w:r>
      <w:r w:rsidR="00BE6286">
        <w:t xml:space="preserve"> on June 17, 2015.</w:t>
      </w:r>
      <w:r w:rsidR="00F757A0">
        <w:t xml:space="preserve">  If these amendments are approved, the</w:t>
      </w:r>
      <w:r w:rsidR="008E5F92">
        <w:t>ir</w:t>
      </w:r>
      <w:r w:rsidR="00F757A0">
        <w:t xml:space="preserve"> combine</w:t>
      </w:r>
      <w:r w:rsidR="008E5F92">
        <w:t>d effect will be</w:t>
      </w:r>
      <w:r w:rsidR="00F757A0">
        <w:t xml:space="preserve"> to </w:t>
      </w:r>
      <w:r w:rsidR="00F868E0">
        <w:t>allow</w:t>
      </w:r>
      <w:r w:rsidR="00F757A0">
        <w:t xml:space="preserve"> the County to relocate substantially all of the Health Department programs from the McCoy Building to the U2 Block, consistent with the original Project goals.</w:t>
      </w:r>
    </w:p>
    <w:p w14:paraId="52781CD5" w14:textId="77777777" w:rsidR="00BE6286" w:rsidRDefault="00BE6286" w:rsidP="004F0631">
      <w:pPr>
        <w:ind w:left="1080" w:hanging="720"/>
        <w:jc w:val="both"/>
      </w:pPr>
    </w:p>
    <w:p w14:paraId="64F6F470" w14:textId="77777777" w:rsidR="00F37269" w:rsidRDefault="00952AC1" w:rsidP="004F0631">
      <w:pPr>
        <w:ind w:left="1080" w:hanging="720"/>
        <w:jc w:val="both"/>
      </w:pPr>
      <w:r>
        <w:t>8.</w:t>
      </w:r>
      <w:r>
        <w:tab/>
      </w:r>
      <w:r w:rsidR="00F37269">
        <w:t xml:space="preserve">The County and PDC desire to extend the deadline for the Final Payment from June 30, 2015, to December 30, 2016, to provide additional time for the County to </w:t>
      </w:r>
      <w:r w:rsidR="00C67F61">
        <w:t>reprogram,</w:t>
      </w:r>
      <w:r w:rsidR="00F37269">
        <w:t xml:space="preserve"> </w:t>
      </w:r>
      <w:r w:rsidR="00C67F61">
        <w:t>re</w:t>
      </w:r>
      <w:r w:rsidR="00F37269">
        <w:t>design</w:t>
      </w:r>
      <w:r w:rsidR="00C67F61">
        <w:t>,</w:t>
      </w:r>
      <w:r w:rsidR="00F37269">
        <w:t xml:space="preserve"> </w:t>
      </w:r>
      <w:r w:rsidR="00C67F61">
        <w:t>reengineer</w:t>
      </w:r>
      <w:r w:rsidR="00F37269">
        <w:t xml:space="preserve"> and obtain </w:t>
      </w:r>
      <w:r w:rsidR="00C67F61">
        <w:t xml:space="preserve">City </w:t>
      </w:r>
      <w:r w:rsidR="00F37269">
        <w:t xml:space="preserve">entitlements for </w:t>
      </w:r>
      <w:r w:rsidR="00C67F61">
        <w:t>an expanded</w:t>
      </w:r>
      <w:r w:rsidR="00F37269">
        <w:t xml:space="preserve"> Project</w:t>
      </w:r>
      <w:r>
        <w:t xml:space="preserve"> on the U2 Block</w:t>
      </w:r>
      <w:r w:rsidR="00F37269">
        <w:t xml:space="preserve">, </w:t>
      </w:r>
      <w:r>
        <w:t xml:space="preserve">all of which are </w:t>
      </w:r>
      <w:r w:rsidR="00F37269">
        <w:t>required pre-conditions to the County’s acquisition of the U2 Block from PHB.</w:t>
      </w:r>
    </w:p>
    <w:p w14:paraId="710C5D74" w14:textId="77777777" w:rsidR="00F37269" w:rsidRDefault="00F37269" w:rsidP="004F0631">
      <w:pPr>
        <w:ind w:left="1080" w:hanging="720"/>
        <w:jc w:val="both"/>
      </w:pPr>
    </w:p>
    <w:p w14:paraId="026A1325" w14:textId="77777777" w:rsidR="00F37269" w:rsidRDefault="00D247DC" w:rsidP="004F0631">
      <w:pPr>
        <w:ind w:left="1080" w:hanging="720"/>
        <w:jc w:val="both"/>
      </w:pPr>
      <w:r>
        <w:t>9</w:t>
      </w:r>
      <w:r w:rsidR="00F37269">
        <w:t>.</w:t>
      </w:r>
      <w:r w:rsidR="00F37269">
        <w:tab/>
      </w:r>
      <w:r w:rsidR="008E5F92">
        <w:t>On November 19, 2007, t</w:t>
      </w:r>
      <w:r>
        <w:t>he County and PDC entered into that certain Intergovernmental Agreement (Hawthorne Bridge Ramp Relocation, County Courthouse, Morrison Bridgehead Properties)</w:t>
      </w:r>
      <w:r w:rsidR="008E5F92">
        <w:t>,</w:t>
      </w:r>
      <w:r>
        <w:t xml:space="preserve"> pursuant to which PDC </w:t>
      </w:r>
      <w:r w:rsidR="00EA20B5">
        <w:t>paid Eight</w:t>
      </w:r>
      <w:r w:rsidR="00EA20B5" w:rsidRPr="00EA20B5">
        <w:t xml:space="preserve"> Million Eight Hundred Twenty Thousand Dollars ($8,820,000) </w:t>
      </w:r>
      <w:r w:rsidR="00DD1033">
        <w:t>to the County</w:t>
      </w:r>
      <w:r w:rsidR="000A684C">
        <w:t xml:space="preserve"> (the “Hawthorne Financing”)</w:t>
      </w:r>
      <w:r w:rsidR="00DD1033">
        <w:t xml:space="preserve">, </w:t>
      </w:r>
      <w:r>
        <w:t>for relocation of the Hawthorne Bridge off ramp on the west side of the Willamette River</w:t>
      </w:r>
      <w:r w:rsidR="00F84DFD">
        <w:t>,</w:t>
      </w:r>
      <w:r>
        <w:t xml:space="preserve"> </w:t>
      </w:r>
      <w:r w:rsidR="00F14DF2">
        <w:t xml:space="preserve">to support </w:t>
      </w:r>
      <w:r w:rsidR="00A1248B">
        <w:t>development of a new Multnomah County Courthouse</w:t>
      </w:r>
      <w:r w:rsidR="00F232DE">
        <w:t xml:space="preserve"> (</w:t>
      </w:r>
      <w:r w:rsidR="00EA20B5">
        <w:t xml:space="preserve">such development, </w:t>
      </w:r>
      <w:r w:rsidR="00F232DE">
        <w:t>the “Courthouse Project”</w:t>
      </w:r>
      <w:r w:rsidR="00EA20B5">
        <w:t xml:space="preserve">, and such agreement, </w:t>
      </w:r>
      <w:r>
        <w:t xml:space="preserve">the “Hawthorne IGA”).  </w:t>
      </w:r>
      <w:r w:rsidR="00123747">
        <w:t>The Hawthorne IGA required the County to commence the Ramp Relocation Project no later than November 19, 2012, which deadline was extended until November 19, 2014</w:t>
      </w:r>
      <w:r w:rsidR="000A684C">
        <w:t>,</w:t>
      </w:r>
      <w:r w:rsidR="00123747">
        <w:t xml:space="preserve"> </w:t>
      </w:r>
      <w:r w:rsidR="000A684C">
        <w:t>by a</w:t>
      </w:r>
      <w:r w:rsidR="00123747">
        <w:t xml:space="preserve"> First Amendment to the Hawthorne IGA, dated as of October 8, 2012</w:t>
      </w:r>
      <w:r w:rsidR="00F232DE">
        <w:t>.  B</w:t>
      </w:r>
      <w:r w:rsidR="00582220">
        <w:t>y a Second Amendment to the Hawthorne IGA, dated as of October 20, 2014</w:t>
      </w:r>
      <w:r w:rsidR="00F232DE">
        <w:t>,</w:t>
      </w:r>
      <w:r w:rsidR="00582220">
        <w:t xml:space="preserve"> the deadline was </w:t>
      </w:r>
      <w:r w:rsidR="00356A60">
        <w:t xml:space="preserve">extended until November 19, 2019, </w:t>
      </w:r>
      <w:r w:rsidR="00582220">
        <w:t xml:space="preserve">and the County received expanded ability to use the Hawthorne Financing </w:t>
      </w:r>
      <w:r w:rsidR="009D202A">
        <w:t xml:space="preserve">within the </w:t>
      </w:r>
      <w:r w:rsidR="009D202A">
        <w:lastRenderedPageBreak/>
        <w:t xml:space="preserve">Downtown Waterfront URA (the “DWURA”) </w:t>
      </w:r>
      <w:r w:rsidR="00582220">
        <w:t xml:space="preserve">to support the </w:t>
      </w:r>
      <w:r w:rsidR="00F232DE">
        <w:t>Courthouse Project</w:t>
      </w:r>
      <w:r w:rsidR="00356A60">
        <w:t xml:space="preserve"> </w:t>
      </w:r>
      <w:r w:rsidR="00123747">
        <w:t>(as amended, the “Amended Hawthorne IGA”).</w:t>
      </w:r>
    </w:p>
    <w:p w14:paraId="3A6D2A6A" w14:textId="77777777" w:rsidR="00F84DFD" w:rsidRDefault="00F84DFD" w:rsidP="004F0631">
      <w:pPr>
        <w:ind w:left="1080" w:hanging="720"/>
        <w:jc w:val="both"/>
      </w:pPr>
    </w:p>
    <w:p w14:paraId="0900F24A" w14:textId="77777777" w:rsidR="00EA20B5" w:rsidRDefault="00F8668C" w:rsidP="00EA20B5">
      <w:pPr>
        <w:ind w:left="1080" w:hanging="720"/>
        <w:jc w:val="both"/>
      </w:pPr>
      <w:r>
        <w:t>1</w:t>
      </w:r>
      <w:r w:rsidR="0028671A">
        <w:t>0</w:t>
      </w:r>
      <w:r w:rsidR="00330E84">
        <w:t>.</w:t>
      </w:r>
      <w:r w:rsidR="00330E84">
        <w:tab/>
      </w:r>
      <w:r w:rsidR="00EA20B5">
        <w:t>Subsequent to the County’s analysis of County-owned sites and other sites that were submitted for the County’s consideration for the Courthouse Project pursuant to a site solicitation request, and subsequent to the County’s review of certain environmental, geotechnical and traffic impact studies, on April 16, 2015, the Board of County Commissioners selected the Hawthorne Bridgehead Block 8 site</w:t>
      </w:r>
      <w:r w:rsidR="009656D9">
        <w:t xml:space="preserve">, which site </w:t>
      </w:r>
      <w:r w:rsidR="00EA20B5">
        <w:t>is located outside of the DWURA.</w:t>
      </w:r>
    </w:p>
    <w:p w14:paraId="045BB9D5" w14:textId="77777777" w:rsidR="00EA20B5" w:rsidRDefault="00EA20B5" w:rsidP="00EA20B5">
      <w:pPr>
        <w:ind w:left="1080" w:hanging="720"/>
        <w:jc w:val="both"/>
      </w:pPr>
    </w:p>
    <w:p w14:paraId="4DF4D5A7" w14:textId="77777777" w:rsidR="00330E84" w:rsidRDefault="00DE7F3F" w:rsidP="00EA20B5">
      <w:pPr>
        <w:ind w:left="1080" w:hanging="720"/>
        <w:jc w:val="both"/>
      </w:pPr>
      <w:r>
        <w:t>1</w:t>
      </w:r>
      <w:r w:rsidR="0028671A">
        <w:t>1</w:t>
      </w:r>
      <w:r w:rsidR="00EA20B5">
        <w:t>.</w:t>
      </w:r>
      <w:r w:rsidR="00EA20B5">
        <w:tab/>
      </w:r>
      <w:r w:rsidR="0028671A" w:rsidRPr="0028671A">
        <w:t xml:space="preserve">The County desires to receive additional funding to support the construction of the </w:t>
      </w:r>
      <w:r w:rsidR="0028671A">
        <w:t>Project</w:t>
      </w:r>
      <w:r w:rsidR="0028671A" w:rsidRPr="0028671A">
        <w:t xml:space="preserve"> within the RDURA, and PDC desires that the County return the </w:t>
      </w:r>
      <w:r w:rsidR="009656D9">
        <w:t>Hawthorne</w:t>
      </w:r>
      <w:r w:rsidR="0028671A" w:rsidRPr="0028671A">
        <w:t xml:space="preserve"> Financing to PDC to be used to support other aspects of the DWURA plan</w:t>
      </w:r>
      <w:r w:rsidR="008E5F92">
        <w:t>.</w:t>
      </w:r>
    </w:p>
    <w:p w14:paraId="44B54720" w14:textId="77777777" w:rsidR="00957FC1" w:rsidRDefault="00957FC1" w:rsidP="004F0631">
      <w:pPr>
        <w:ind w:left="1080" w:hanging="720"/>
        <w:jc w:val="both"/>
      </w:pPr>
    </w:p>
    <w:p w14:paraId="79768032" w14:textId="77777777" w:rsidR="00135EA0" w:rsidRPr="00082599" w:rsidRDefault="00330E84" w:rsidP="004F0631">
      <w:pPr>
        <w:ind w:left="1080" w:hanging="720"/>
        <w:jc w:val="both"/>
        <w:rPr>
          <w:b/>
        </w:rPr>
      </w:pPr>
      <w:r>
        <w:t>1</w:t>
      </w:r>
      <w:r w:rsidR="0028671A">
        <w:t>2</w:t>
      </w:r>
      <w:r w:rsidR="00F37269">
        <w:t>.</w:t>
      </w:r>
      <w:r w:rsidR="00135EA0">
        <w:tab/>
      </w:r>
      <w:r w:rsidR="00135EA0" w:rsidRPr="00082599">
        <w:t xml:space="preserve">PDC finds that </w:t>
      </w:r>
      <w:r w:rsidR="0000717C">
        <w:t xml:space="preserve">granting </w:t>
      </w:r>
      <w:r w:rsidR="000F65B4">
        <w:t>the County</w:t>
      </w:r>
      <w:r w:rsidR="00135EA0">
        <w:t xml:space="preserve"> additional time for </w:t>
      </w:r>
      <w:r w:rsidR="00135EA0" w:rsidRPr="00082599">
        <w:t>the fulfillment, generally, of th</w:t>
      </w:r>
      <w:r w:rsidR="00135EA0">
        <w:t xml:space="preserve">e </w:t>
      </w:r>
      <w:r w:rsidR="00F37269">
        <w:t>Amended</w:t>
      </w:r>
      <w:r w:rsidR="00135EA0" w:rsidRPr="00082599">
        <w:t xml:space="preserve"> Agreement, and the intentions set forth </w:t>
      </w:r>
      <w:r w:rsidR="00135EA0">
        <w:t>t</w:t>
      </w:r>
      <w:r w:rsidR="00135EA0" w:rsidRPr="00082599">
        <w:t>herein,</w:t>
      </w:r>
      <w:r w:rsidR="00952AC1">
        <w:t xml:space="preserve"> as further amended herein,</w:t>
      </w:r>
      <w:r w:rsidR="00135EA0" w:rsidRPr="00082599">
        <w:t xml:space="preserve"> </w:t>
      </w:r>
      <w:r w:rsidR="00E92EF5">
        <w:t>is</w:t>
      </w:r>
      <w:r w:rsidR="00135EA0" w:rsidRPr="00082599">
        <w:t xml:space="preserve"> in the vital and best interest of the City and the health, safety, and welfare of its residents, and </w:t>
      </w:r>
      <w:r w:rsidR="00E92EF5">
        <w:t>is</w:t>
      </w:r>
      <w:r w:rsidR="00135EA0" w:rsidRPr="00082599">
        <w:t xml:space="preserve"> in accord with the public purposes and provisions of the applicable state and federal laws and requirements under which the Plan was adopted.</w:t>
      </w:r>
      <w:r w:rsidR="00135EA0" w:rsidRPr="00082599">
        <w:rPr>
          <w:b/>
        </w:rPr>
        <w:t xml:space="preserve"> </w:t>
      </w:r>
    </w:p>
    <w:p w14:paraId="5220FBBE" w14:textId="77777777" w:rsidR="009F6E25" w:rsidRDefault="009F6E25" w:rsidP="004F0631">
      <w:pPr>
        <w:ind w:left="1080" w:hanging="720"/>
        <w:jc w:val="both"/>
      </w:pPr>
    </w:p>
    <w:p w14:paraId="56669258" w14:textId="77777777" w:rsidR="009F6E25" w:rsidRDefault="009F6E25" w:rsidP="00570344">
      <w:pPr>
        <w:jc w:val="both"/>
      </w:pPr>
      <w:r>
        <w:tab/>
        <w:t>NOW, THEREFORE, in consideration of the foregoing premises and other good and valuable consideration</w:t>
      </w:r>
      <w:r w:rsidR="00DC65D1">
        <w:t>,</w:t>
      </w:r>
      <w:r>
        <w:t xml:space="preserve"> the rec</w:t>
      </w:r>
      <w:r w:rsidR="00DC65D1">
        <w:t>eipt and sufficiency of which are</w:t>
      </w:r>
      <w:r>
        <w:t xml:space="preserve"> hereby acknowledged, the parties hereby agree as follows:</w:t>
      </w:r>
    </w:p>
    <w:p w14:paraId="38093082" w14:textId="77777777" w:rsidR="009F6E25" w:rsidRDefault="009F6E25" w:rsidP="00570344">
      <w:pPr>
        <w:jc w:val="both"/>
      </w:pPr>
    </w:p>
    <w:p w14:paraId="5396AC57" w14:textId="77777777" w:rsidR="009F6E25" w:rsidRDefault="009F6E25">
      <w:pPr>
        <w:jc w:val="center"/>
        <w:rPr>
          <w:b/>
        </w:rPr>
      </w:pPr>
      <w:r>
        <w:rPr>
          <w:b/>
        </w:rPr>
        <w:t>AGREEMENT</w:t>
      </w:r>
      <w:r w:rsidR="00957FC1">
        <w:rPr>
          <w:b/>
        </w:rPr>
        <w:t>S:</w:t>
      </w:r>
    </w:p>
    <w:p w14:paraId="565E5986" w14:textId="77777777" w:rsidR="00C35488" w:rsidRDefault="00C35488">
      <w:pPr>
        <w:jc w:val="both"/>
      </w:pPr>
    </w:p>
    <w:p w14:paraId="7C9D544D" w14:textId="77777777" w:rsidR="009E3229" w:rsidRDefault="00A93656" w:rsidP="00C95C2D">
      <w:pPr>
        <w:ind w:left="1080" w:hanging="720"/>
        <w:jc w:val="both"/>
      </w:pPr>
      <w:r>
        <w:t>1</w:t>
      </w:r>
      <w:r w:rsidR="00C95C2D">
        <w:t>.</w:t>
      </w:r>
      <w:r w:rsidR="00C95C2D">
        <w:tab/>
      </w:r>
      <w:r w:rsidR="003E02A7">
        <w:t xml:space="preserve">Recital I. </w:t>
      </w:r>
      <w:r w:rsidR="000C1573">
        <w:t xml:space="preserve">of the </w:t>
      </w:r>
      <w:r w:rsidR="00F37269">
        <w:t>Amended</w:t>
      </w:r>
      <w:r w:rsidR="000C1573">
        <w:t xml:space="preserve"> Agreement</w:t>
      </w:r>
      <w:r w:rsidR="00C329BF">
        <w:t xml:space="preserve"> is hereby replaced, in its entirety, with the following:</w:t>
      </w:r>
    </w:p>
    <w:p w14:paraId="3AB7FA05" w14:textId="77777777" w:rsidR="00C329BF" w:rsidRDefault="00C329BF" w:rsidP="00C95C2D">
      <w:pPr>
        <w:ind w:left="1080" w:hanging="720"/>
        <w:jc w:val="both"/>
      </w:pPr>
    </w:p>
    <w:p w14:paraId="3EFF68F5" w14:textId="77777777" w:rsidR="00ED671B" w:rsidRDefault="00F868E0" w:rsidP="00C95C2D">
      <w:pPr>
        <w:spacing w:after="120"/>
        <w:ind w:left="1080" w:hanging="720"/>
        <w:jc w:val="both"/>
      </w:pPr>
      <w:r>
        <w:tab/>
      </w:r>
      <w:r w:rsidR="00ED671B">
        <w:t>“</w:t>
      </w:r>
      <w:r w:rsidR="00E92EF5">
        <w:t>To enable</w:t>
      </w:r>
      <w:r w:rsidR="00ED671B" w:rsidRPr="00082599">
        <w:t xml:space="preserve"> </w:t>
      </w:r>
      <w:r w:rsidR="000F65B4">
        <w:t>the County</w:t>
      </w:r>
      <w:r w:rsidR="00ED671B" w:rsidRPr="00082599">
        <w:t xml:space="preserve"> to commence construction of the Project during the </w:t>
      </w:r>
      <w:r w:rsidR="00952AC1">
        <w:t>4</w:t>
      </w:r>
      <w:r w:rsidR="00885178" w:rsidRPr="00885178">
        <w:rPr>
          <w:vertAlign w:val="superscript"/>
        </w:rPr>
        <w:t>th</w:t>
      </w:r>
      <w:r w:rsidR="00952AC1">
        <w:t xml:space="preserve"> quarter</w:t>
      </w:r>
      <w:r w:rsidR="00ED671B" w:rsidRPr="00082599">
        <w:t xml:space="preserve"> of </w:t>
      </w:r>
      <w:r w:rsidR="00F8055C">
        <w:t>2016</w:t>
      </w:r>
      <w:r w:rsidR="00E92EF5">
        <w:t xml:space="preserve">, </w:t>
      </w:r>
      <w:r w:rsidR="000F65B4">
        <w:t>the County</w:t>
      </w:r>
      <w:r w:rsidR="00ED671B" w:rsidRPr="00082599">
        <w:t xml:space="preserve"> has requested that PDC acce</w:t>
      </w:r>
      <w:r w:rsidR="00E92EF5">
        <w:t xml:space="preserve">lerate the Final Payment to </w:t>
      </w:r>
      <w:r w:rsidR="000F65B4">
        <w:t>the County</w:t>
      </w:r>
      <w:r w:rsidR="00ED671B" w:rsidRPr="00082599">
        <w:t xml:space="preserve"> to no later than </w:t>
      </w:r>
      <w:r w:rsidR="00F8055C">
        <w:t>December 30</w:t>
      </w:r>
      <w:r w:rsidR="00ED671B" w:rsidRPr="00082599">
        <w:t xml:space="preserve">, </w:t>
      </w:r>
      <w:r w:rsidR="00F8055C">
        <w:t>2016</w:t>
      </w:r>
      <w:r w:rsidR="00ED671B">
        <w:t xml:space="preserve"> (the “Final Payment</w:t>
      </w:r>
      <w:r w:rsidR="00ED671B" w:rsidRPr="00082599">
        <w:t xml:space="preserve"> Date”).</w:t>
      </w:r>
      <w:r w:rsidR="00ED671B">
        <w:t>”</w:t>
      </w:r>
    </w:p>
    <w:p w14:paraId="676A625B" w14:textId="77777777" w:rsidR="00C35488" w:rsidRDefault="00A93656">
      <w:pPr>
        <w:spacing w:after="120"/>
        <w:ind w:left="1080" w:hanging="720"/>
        <w:jc w:val="both"/>
      </w:pPr>
      <w:r>
        <w:t>2</w:t>
      </w:r>
      <w:r w:rsidR="00F868E0">
        <w:t>.</w:t>
      </w:r>
      <w:r w:rsidR="00F868E0">
        <w:tab/>
      </w:r>
      <w:r w:rsidR="00ED671B">
        <w:t>The first</w:t>
      </w:r>
      <w:r w:rsidR="00FA5F58">
        <w:t xml:space="preserve"> sentence of Section 1.</w:t>
      </w:r>
      <w:r w:rsidR="00ED671B">
        <w:t>1</w:t>
      </w:r>
      <w:r w:rsidR="00FA5F58">
        <w:t xml:space="preserve"> of the </w:t>
      </w:r>
      <w:r w:rsidR="00F37269">
        <w:t>Amended</w:t>
      </w:r>
      <w:r w:rsidR="00FA5F58">
        <w:t xml:space="preserve"> Agreement is hereby replaced, in its entirety, with the following:</w:t>
      </w:r>
    </w:p>
    <w:p w14:paraId="774C37B7" w14:textId="77777777" w:rsidR="00FA5F58" w:rsidRDefault="00FA5F58" w:rsidP="00C95C2D">
      <w:pPr>
        <w:ind w:left="1080" w:hanging="720"/>
        <w:jc w:val="both"/>
      </w:pPr>
    </w:p>
    <w:p w14:paraId="42024E95" w14:textId="77777777" w:rsidR="00FA5F58" w:rsidRDefault="00F868E0" w:rsidP="00C95C2D">
      <w:pPr>
        <w:ind w:left="1080" w:hanging="720"/>
        <w:jc w:val="both"/>
      </w:pPr>
      <w:r>
        <w:rPr>
          <w:b/>
        </w:rPr>
        <w:tab/>
      </w:r>
      <w:r w:rsidR="00E4474F">
        <w:rPr>
          <w:b/>
        </w:rPr>
        <w:t>“</w:t>
      </w:r>
      <w:r w:rsidR="00E4474F" w:rsidRPr="00082599">
        <w:rPr>
          <w:b/>
        </w:rPr>
        <w:t>PDC Grant Amount</w:t>
      </w:r>
      <w:r w:rsidR="00E4474F" w:rsidRPr="00082599">
        <w:t xml:space="preserve">.  </w:t>
      </w:r>
      <w:r w:rsidR="00ED671B" w:rsidRPr="00082599">
        <w:t xml:space="preserve">On the terms and conditions of this Agreement, PDC </w:t>
      </w:r>
      <w:r w:rsidR="00952AC1">
        <w:t>has previously</w:t>
      </w:r>
      <w:r w:rsidR="00ED671B" w:rsidRPr="00082599">
        <w:t xml:space="preserve"> disburse</w:t>
      </w:r>
      <w:r w:rsidR="00952AC1">
        <w:t>d</w:t>
      </w:r>
      <w:r w:rsidR="00B617BE" w:rsidRPr="00082599">
        <w:t xml:space="preserve"> to </w:t>
      </w:r>
      <w:r w:rsidR="000F65B4">
        <w:t>the County</w:t>
      </w:r>
      <w:r w:rsidR="00ED671B" w:rsidRPr="00082599">
        <w:t xml:space="preserve"> the Initial Payment</w:t>
      </w:r>
      <w:r w:rsidR="00B617BE">
        <w:t xml:space="preserve"> of Ten Million Dollars ($10,000,000.00)</w:t>
      </w:r>
      <w:r w:rsidR="00ED671B" w:rsidRPr="00082599">
        <w:t xml:space="preserve"> </w:t>
      </w:r>
      <w:r w:rsidR="00ED671B">
        <w:t>on or before June 30, 2014</w:t>
      </w:r>
      <w:r w:rsidR="00B617BE">
        <w:t>,</w:t>
      </w:r>
      <w:r w:rsidR="00ED671B">
        <w:t xml:space="preserve"> </w:t>
      </w:r>
      <w:r w:rsidR="00ED671B" w:rsidRPr="00082599">
        <w:t xml:space="preserve">and </w:t>
      </w:r>
      <w:r w:rsidR="00BE5236" w:rsidRPr="00082599">
        <w:t>agrees to</w:t>
      </w:r>
      <w:r w:rsidR="00BE5236">
        <w:t xml:space="preserve"> disburse </w:t>
      </w:r>
      <w:r w:rsidR="00ED671B" w:rsidRPr="00082599">
        <w:t>the Final Payment</w:t>
      </w:r>
      <w:r w:rsidR="00B617BE" w:rsidRPr="00B617BE">
        <w:t xml:space="preserve"> </w:t>
      </w:r>
      <w:r w:rsidR="00B617BE">
        <w:t>of Sixteen Million Nine Hundred Forty-Eight Thousand Four Hundred Sixty Dollars ($16,948,460.00)</w:t>
      </w:r>
      <w:r w:rsidR="00BE5236">
        <w:t xml:space="preserve">, </w:t>
      </w:r>
      <w:r w:rsidR="0028671A">
        <w:t xml:space="preserve">on or before December 30, 2016, and agrees </w:t>
      </w:r>
      <w:r w:rsidR="00B62033">
        <w:t xml:space="preserve">to disburse an additional </w:t>
      </w:r>
      <w:r w:rsidR="00BE5236">
        <w:t xml:space="preserve">Nine Million </w:t>
      </w:r>
      <w:r w:rsidR="00A9691A">
        <w:t>Five</w:t>
      </w:r>
      <w:r w:rsidR="00B62033">
        <w:t xml:space="preserve"> Hundred Three Thousand Nine </w:t>
      </w:r>
      <w:r w:rsidR="00150D39">
        <w:t>Dollars ($9</w:t>
      </w:r>
      <w:r w:rsidR="00BE5236">
        <w:t>,</w:t>
      </w:r>
      <w:r w:rsidR="00A9691A">
        <w:t>50</w:t>
      </w:r>
      <w:r w:rsidR="00B62033">
        <w:t>3,009</w:t>
      </w:r>
      <w:r w:rsidR="00BE5236">
        <w:t>.00)</w:t>
      </w:r>
      <w:r w:rsidR="008771B0">
        <w:t xml:space="preserve"> (the “Transfer Payment”)</w:t>
      </w:r>
      <w:r w:rsidR="00D247DC">
        <w:t>,</w:t>
      </w:r>
      <w:r w:rsidR="00BE5236">
        <w:t xml:space="preserve"> </w:t>
      </w:r>
      <w:r w:rsidR="00B617BE">
        <w:t>on or before</w:t>
      </w:r>
      <w:r w:rsidR="00B617BE" w:rsidRPr="00B617BE">
        <w:t xml:space="preserve"> </w:t>
      </w:r>
      <w:r w:rsidR="00F8055C">
        <w:t>December 30</w:t>
      </w:r>
      <w:r w:rsidR="00F8055C" w:rsidRPr="00082599">
        <w:t xml:space="preserve">, </w:t>
      </w:r>
      <w:r w:rsidR="00F8055C">
        <w:t>201</w:t>
      </w:r>
      <w:r w:rsidR="00B62033">
        <w:t>8</w:t>
      </w:r>
      <w:r w:rsidR="00B617BE">
        <w:t>, for</w:t>
      </w:r>
      <w:r w:rsidR="00ED671B" w:rsidRPr="00082599">
        <w:t xml:space="preserve"> a total aggregate amount not to exceed </w:t>
      </w:r>
      <w:r w:rsidR="00150D39">
        <w:lastRenderedPageBreak/>
        <w:t xml:space="preserve">THIRTY </w:t>
      </w:r>
      <w:r w:rsidR="00B62033">
        <w:t>SIX</w:t>
      </w:r>
      <w:r w:rsidR="00B62033" w:rsidRPr="00082599">
        <w:t xml:space="preserve"> </w:t>
      </w:r>
      <w:r w:rsidR="00ED671B" w:rsidRPr="00082599">
        <w:t xml:space="preserve">MILLION </w:t>
      </w:r>
      <w:r w:rsidR="00A9691A">
        <w:t>FOUR</w:t>
      </w:r>
      <w:r w:rsidR="00ED671B" w:rsidRPr="00082599">
        <w:t xml:space="preserve"> HUNDRED </w:t>
      </w:r>
      <w:r w:rsidR="00A9691A">
        <w:t>FIFTY</w:t>
      </w:r>
      <w:bookmarkStart w:id="6" w:name="_GoBack"/>
      <w:bookmarkEnd w:id="6"/>
      <w:r w:rsidR="008771B0">
        <w:t xml:space="preserve"> ONE </w:t>
      </w:r>
      <w:r w:rsidR="00ED671B" w:rsidRPr="00082599">
        <w:t xml:space="preserve">THOUSAND FOUR HUNDRED SIXTY </w:t>
      </w:r>
      <w:r w:rsidR="008771B0">
        <w:t xml:space="preserve">NINE </w:t>
      </w:r>
      <w:r w:rsidR="00ED671B" w:rsidRPr="00082599">
        <w:t>DOLLARS ($</w:t>
      </w:r>
      <w:r w:rsidR="00D247DC">
        <w:t>3</w:t>
      </w:r>
      <w:r w:rsidR="008771B0">
        <w:t>6</w:t>
      </w:r>
      <w:r w:rsidR="00ED671B" w:rsidRPr="00082599">
        <w:t>,</w:t>
      </w:r>
      <w:r w:rsidR="00A9691A">
        <w:t>45</w:t>
      </w:r>
      <w:r w:rsidR="008771B0">
        <w:t>1</w:t>
      </w:r>
      <w:r w:rsidR="00ED671B" w:rsidRPr="00082599">
        <w:t>,46</w:t>
      </w:r>
      <w:r w:rsidR="008771B0">
        <w:t>9</w:t>
      </w:r>
      <w:r w:rsidR="00ED671B" w:rsidRPr="00082599">
        <w:t>) subject to forecasted availability (the “PDC Grant</w:t>
      </w:r>
      <w:r w:rsidR="00ED671B" w:rsidRPr="00505919">
        <w:t>”).</w:t>
      </w:r>
      <w:r w:rsidR="00505919" w:rsidRPr="00505919">
        <w:t xml:space="preserve">  </w:t>
      </w:r>
      <w:r w:rsidR="00BE5236">
        <w:rPr>
          <w:iCs/>
          <w:color w:val="222222"/>
          <w:shd w:val="clear" w:color="auto" w:fill="FFFFFF"/>
        </w:rPr>
        <w:t>T</w:t>
      </w:r>
      <w:r w:rsidR="00505919" w:rsidRPr="00505919">
        <w:rPr>
          <w:iCs/>
          <w:color w:val="222222"/>
          <w:shd w:val="clear" w:color="auto" w:fill="FFFFFF"/>
        </w:rPr>
        <w:t>he Initial Payment</w:t>
      </w:r>
      <w:r w:rsidR="00BE5236">
        <w:rPr>
          <w:iCs/>
          <w:color w:val="222222"/>
          <w:shd w:val="clear" w:color="auto" w:fill="FFFFFF"/>
        </w:rPr>
        <w:t>,</w:t>
      </w:r>
      <w:r w:rsidR="00505919" w:rsidRPr="00505919">
        <w:rPr>
          <w:iCs/>
          <w:color w:val="222222"/>
          <w:shd w:val="clear" w:color="auto" w:fill="FFFFFF"/>
        </w:rPr>
        <w:t xml:space="preserve"> the Final Payment</w:t>
      </w:r>
      <w:r w:rsidR="00505919">
        <w:rPr>
          <w:iCs/>
          <w:color w:val="222222"/>
          <w:shd w:val="clear" w:color="auto" w:fill="FFFFFF"/>
        </w:rPr>
        <w:t xml:space="preserve"> </w:t>
      </w:r>
      <w:r w:rsidR="00BE5236">
        <w:rPr>
          <w:iCs/>
          <w:color w:val="222222"/>
          <w:shd w:val="clear" w:color="auto" w:fill="FFFFFF"/>
        </w:rPr>
        <w:t xml:space="preserve">and the Transfer Payment </w:t>
      </w:r>
      <w:r w:rsidR="00505919">
        <w:rPr>
          <w:iCs/>
          <w:color w:val="222222"/>
          <w:shd w:val="clear" w:color="auto" w:fill="FFFFFF"/>
        </w:rPr>
        <w:t xml:space="preserve">shall be made </w:t>
      </w:r>
      <w:r w:rsidR="00505919" w:rsidRPr="00505919">
        <w:rPr>
          <w:iCs/>
          <w:color w:val="222222"/>
          <w:shd w:val="clear" w:color="auto" w:fill="FFFFFF"/>
        </w:rPr>
        <w:t>as provided in Section 1.2 below</w:t>
      </w:r>
      <w:r w:rsidR="00505919">
        <w:rPr>
          <w:iCs/>
          <w:color w:val="222222"/>
          <w:shd w:val="clear" w:color="auto" w:fill="FFFFFF"/>
        </w:rPr>
        <w:t>.</w:t>
      </w:r>
      <w:r w:rsidR="00E4474F">
        <w:t>”</w:t>
      </w:r>
    </w:p>
    <w:p w14:paraId="6D8D8191" w14:textId="77777777" w:rsidR="00E4474F" w:rsidRDefault="00E4474F" w:rsidP="00C95C2D">
      <w:pPr>
        <w:ind w:left="1080" w:hanging="720"/>
        <w:jc w:val="both"/>
      </w:pPr>
    </w:p>
    <w:p w14:paraId="68B096E7" w14:textId="77777777" w:rsidR="00E4474F" w:rsidRDefault="00A93656" w:rsidP="00C95C2D">
      <w:pPr>
        <w:ind w:left="1080" w:hanging="720"/>
        <w:jc w:val="both"/>
      </w:pPr>
      <w:r>
        <w:t>3</w:t>
      </w:r>
      <w:r w:rsidR="00C95C2D">
        <w:t>.</w:t>
      </w:r>
      <w:r w:rsidR="00C95C2D">
        <w:tab/>
      </w:r>
      <w:r w:rsidR="00E4474F">
        <w:t xml:space="preserve">The first sentence of Section 1.2 of the </w:t>
      </w:r>
      <w:r w:rsidR="00F37269">
        <w:t>Amended</w:t>
      </w:r>
      <w:r w:rsidR="00E4474F">
        <w:t xml:space="preserve"> Agreement is hereby replaced, in its entirety, with the following:</w:t>
      </w:r>
    </w:p>
    <w:p w14:paraId="599A063D" w14:textId="77777777" w:rsidR="00E4474F" w:rsidRDefault="00E4474F" w:rsidP="00C95C2D">
      <w:pPr>
        <w:ind w:left="1080" w:hanging="720"/>
        <w:jc w:val="both"/>
      </w:pPr>
    </w:p>
    <w:p w14:paraId="04EE48B3" w14:textId="77777777" w:rsidR="00E4474F" w:rsidRDefault="00F868E0" w:rsidP="00C95C2D">
      <w:pPr>
        <w:ind w:left="1080" w:hanging="720"/>
        <w:jc w:val="both"/>
      </w:pPr>
      <w:r>
        <w:rPr>
          <w:b/>
        </w:rPr>
        <w:tab/>
      </w:r>
      <w:r w:rsidR="00E4474F">
        <w:rPr>
          <w:b/>
        </w:rPr>
        <w:t>“</w:t>
      </w:r>
      <w:r w:rsidR="00E4474F" w:rsidRPr="00082599">
        <w:rPr>
          <w:b/>
        </w:rPr>
        <w:t xml:space="preserve">Disbursement.  </w:t>
      </w:r>
      <w:r w:rsidR="00E4474F" w:rsidRPr="00082599">
        <w:t xml:space="preserve">PDC shall on </w:t>
      </w:r>
      <w:r w:rsidR="00E4474F">
        <w:t>or before June 30 2014,</w:t>
      </w:r>
      <w:r w:rsidR="00E4474F" w:rsidRPr="00082599">
        <w:t xml:space="preserve"> disburse the Initial Payment to </w:t>
      </w:r>
      <w:r w:rsidR="000F65B4">
        <w:t>the County</w:t>
      </w:r>
      <w:r w:rsidR="00E4474F" w:rsidRPr="00082599">
        <w:t xml:space="preserve">.  PDC shall disburse the Final </w:t>
      </w:r>
      <w:r w:rsidR="00E92EF5">
        <w:t xml:space="preserve">Payment of the PDC Grant to </w:t>
      </w:r>
      <w:r w:rsidR="000F65B4">
        <w:t>the County</w:t>
      </w:r>
      <w:r w:rsidR="00E4474F" w:rsidRPr="00082599">
        <w:t xml:space="preserve"> </w:t>
      </w:r>
      <w:r w:rsidR="00505919">
        <w:t>within</w:t>
      </w:r>
      <w:r w:rsidR="000F65B4">
        <w:t xml:space="preserve"> twenty (20) days after th</w:t>
      </w:r>
      <w:r w:rsidR="00E4474F">
        <w:t xml:space="preserve">e </w:t>
      </w:r>
      <w:r w:rsidR="00E92EF5">
        <w:t xml:space="preserve">date that </w:t>
      </w:r>
      <w:r w:rsidR="000F65B4">
        <w:t>the County</w:t>
      </w:r>
      <w:r w:rsidR="00E4474F" w:rsidRPr="00082599">
        <w:t xml:space="preserve"> satisfies, to PDC’s satisfaction, the conditions precedent set forth</w:t>
      </w:r>
      <w:r w:rsidR="00505919">
        <w:t xml:space="preserve"> below</w:t>
      </w:r>
      <w:r w:rsidR="00E4474F" w:rsidRPr="00082599">
        <w:t xml:space="preserve"> in Section 1.2.</w:t>
      </w:r>
      <w:r w:rsidR="00E4474F" w:rsidRPr="008933F3">
        <w:t>1</w:t>
      </w:r>
      <w:r w:rsidR="00505919" w:rsidRPr="008933F3">
        <w:t>,</w:t>
      </w:r>
      <w:r w:rsidR="000F65B4" w:rsidRPr="008933F3">
        <w:t xml:space="preserve"> </w:t>
      </w:r>
      <w:r w:rsidR="00505919" w:rsidRPr="008933F3">
        <w:rPr>
          <w:iCs/>
          <w:color w:val="222222"/>
          <w:shd w:val="clear" w:color="auto" w:fill="FFFFFF"/>
        </w:rPr>
        <w:t xml:space="preserve">presently estimated to occur on </w:t>
      </w:r>
      <w:r w:rsidR="000F65B4" w:rsidRPr="008933F3">
        <w:t>or</w:t>
      </w:r>
      <w:r w:rsidR="00505919" w:rsidRPr="008933F3">
        <w:t xml:space="preserve"> before</w:t>
      </w:r>
      <w:r w:rsidR="000F65B4" w:rsidRPr="008933F3">
        <w:t xml:space="preserve"> </w:t>
      </w:r>
      <w:r w:rsidR="00F8055C">
        <w:t>December 30</w:t>
      </w:r>
      <w:r w:rsidR="00F8055C" w:rsidRPr="00082599">
        <w:t xml:space="preserve">, </w:t>
      </w:r>
      <w:r w:rsidR="00F8055C">
        <w:t>2016</w:t>
      </w:r>
      <w:r w:rsidR="00E92EF5" w:rsidRPr="008933F3">
        <w:t>.</w:t>
      </w:r>
      <w:r w:rsidR="00E92EF5">
        <w:t xml:space="preserve">  </w:t>
      </w:r>
      <w:r w:rsidR="00362B0C">
        <w:t>PDC shall</w:t>
      </w:r>
      <w:r w:rsidR="00AC09AB">
        <w:t xml:space="preserve"> </w:t>
      </w:r>
      <w:r w:rsidR="00362B0C">
        <w:t xml:space="preserve">disburse the Transfer Payment of the PDC Grant to the County </w:t>
      </w:r>
      <w:r w:rsidR="00A82E5D">
        <w:t>on any date of PDC’s choosing</w:t>
      </w:r>
      <w:r w:rsidR="00AC09AB">
        <w:t xml:space="preserve"> prior to December 31, 2018, provided that PDC’s obligation to disburse the Transfer Payment is </w:t>
      </w:r>
      <w:r w:rsidR="00867CE0">
        <w:t>subject to the County having returned the Hawthorne Financing</w:t>
      </w:r>
      <w:r w:rsidR="00E85283">
        <w:t xml:space="preserve">, together with interest earned thereon, </w:t>
      </w:r>
      <w:r w:rsidR="00867CE0">
        <w:t>to PDC.</w:t>
      </w:r>
      <w:r w:rsidR="00AC09AB">
        <w:t xml:space="preserve"> </w:t>
      </w:r>
      <w:r w:rsidR="00A82E5D">
        <w:t xml:space="preserve"> </w:t>
      </w:r>
      <w:r w:rsidR="000F65B4">
        <w:t>The County</w:t>
      </w:r>
      <w:r w:rsidR="00E4474F" w:rsidRPr="00082599">
        <w:t xml:space="preserve"> shall have no obligation to repay the PDC Grant except upon the occurrence of an Event of Default (as hereinafter defined).</w:t>
      </w:r>
      <w:r w:rsidR="00E12D6C">
        <w:t>”</w:t>
      </w:r>
    </w:p>
    <w:p w14:paraId="4467BC24" w14:textId="77777777" w:rsidR="00FA5F58" w:rsidRDefault="00FA5F58" w:rsidP="00C95C2D">
      <w:pPr>
        <w:ind w:left="1080" w:hanging="720"/>
        <w:jc w:val="both"/>
      </w:pPr>
    </w:p>
    <w:p w14:paraId="5AA984FF" w14:textId="77777777" w:rsidR="00FA67A4" w:rsidRDefault="00A93656" w:rsidP="00C95C2D">
      <w:pPr>
        <w:ind w:left="1080" w:hanging="720"/>
        <w:jc w:val="both"/>
      </w:pPr>
      <w:r>
        <w:t>4</w:t>
      </w:r>
      <w:r w:rsidR="00C95C2D">
        <w:t>.</w:t>
      </w:r>
      <w:r w:rsidR="00C95C2D">
        <w:tab/>
      </w:r>
      <w:r w:rsidR="00FA67A4">
        <w:t xml:space="preserve">Section 1.3 of the </w:t>
      </w:r>
      <w:r w:rsidR="00F37269">
        <w:t>Amended</w:t>
      </w:r>
      <w:r w:rsidR="00FA67A4">
        <w:t xml:space="preserve"> Agreement is hereby replaced, in its entirety, with the following:</w:t>
      </w:r>
    </w:p>
    <w:p w14:paraId="34601543" w14:textId="77777777" w:rsidR="00FA67A4" w:rsidRDefault="00FA67A4" w:rsidP="00C95C2D">
      <w:pPr>
        <w:ind w:left="1080" w:hanging="720"/>
        <w:jc w:val="both"/>
        <w:rPr>
          <w:b/>
        </w:rPr>
      </w:pPr>
    </w:p>
    <w:p w14:paraId="651C7105" w14:textId="77777777" w:rsidR="0036600B" w:rsidRDefault="0036600B" w:rsidP="00C95C2D">
      <w:pPr>
        <w:spacing w:line="0" w:lineRule="atLeast"/>
        <w:ind w:left="1080" w:hanging="720"/>
        <w:contextualSpacing/>
        <w:jc w:val="both"/>
      </w:pPr>
      <w:r>
        <w:rPr>
          <w:b/>
        </w:rPr>
        <w:tab/>
      </w:r>
      <w:r w:rsidR="00E12D6C">
        <w:rPr>
          <w:b/>
        </w:rPr>
        <w:t>“</w:t>
      </w:r>
      <w:r w:rsidR="00FA67A4" w:rsidRPr="00082599">
        <w:rPr>
          <w:b/>
        </w:rPr>
        <w:t xml:space="preserve">Return of PDC Grant. </w:t>
      </w:r>
      <w:r w:rsidR="00FA67A4" w:rsidRPr="00082599">
        <w:t xml:space="preserve"> Notwithstanding anything set forth herein to the </w:t>
      </w:r>
      <w:r w:rsidR="000F65B4">
        <w:t>contrary, in the event that the County</w:t>
      </w:r>
      <w:r w:rsidR="00FA67A4" w:rsidRPr="00082599">
        <w:t xml:space="preserve"> has not materially commenced construction of the Project by the date that is six </w:t>
      </w:r>
      <w:r w:rsidR="000F65B4">
        <w:t>(6) months after the County</w:t>
      </w:r>
      <w:r w:rsidR="00FA67A4">
        <w:t>’s receipt of the Final Payment</w:t>
      </w:r>
      <w:r w:rsidR="000F65B4">
        <w:t>, the County</w:t>
      </w:r>
      <w:r w:rsidR="00FA67A4" w:rsidRPr="00082599">
        <w:t xml:space="preserve"> shall return the portion of the PDC Grant representing the Final Paymen</w:t>
      </w:r>
      <w:r w:rsidR="000F65B4">
        <w:t xml:space="preserve">t that was otherwise </w:t>
      </w:r>
      <w:r w:rsidR="00BE5236">
        <w:t xml:space="preserve">not </w:t>
      </w:r>
      <w:r w:rsidR="000F65B4">
        <w:t>due to the County</w:t>
      </w:r>
      <w:r w:rsidR="00FA67A4" w:rsidRPr="00082599">
        <w:t xml:space="preserve"> </w:t>
      </w:r>
      <w:r w:rsidR="00BE5236">
        <w:t>until</w:t>
      </w:r>
      <w:r w:rsidR="00FA67A4" w:rsidRPr="00082599">
        <w:t xml:space="preserve"> June 30, 2021</w:t>
      </w:r>
      <w:r w:rsidRPr="00082599">
        <w:t xml:space="preserve">.  Because the Initial Payment is required by ORS 457.470(10)(e) to be disbursed on </w:t>
      </w:r>
      <w:r>
        <w:t>or before June 30, 2014,</w:t>
      </w:r>
      <w:r w:rsidR="000F65B4">
        <w:t xml:space="preserve"> the County</w:t>
      </w:r>
      <w:r w:rsidRPr="00082599">
        <w:t xml:space="preserve"> shall receive and retain the Initial Payment; provided, however, that, to the extent that the County elects to use the Initial Payment for a use other than the Project, it must first notify PDC so that PDC may make any necessary further amendments, as determined by PDC in its sole discretion, to the Plan to accommodate such alternative use of the Initial Payment.</w:t>
      </w:r>
      <w:r w:rsidR="00E12D6C">
        <w:t>”</w:t>
      </w:r>
    </w:p>
    <w:p w14:paraId="0F28CA2D" w14:textId="77777777" w:rsidR="008573FD" w:rsidRDefault="008573FD" w:rsidP="00C95C2D">
      <w:pPr>
        <w:spacing w:line="0" w:lineRule="atLeast"/>
        <w:ind w:left="1080" w:hanging="720"/>
        <w:contextualSpacing/>
        <w:jc w:val="both"/>
      </w:pPr>
    </w:p>
    <w:p w14:paraId="2AE0CF67" w14:textId="77777777" w:rsidR="009F6E25" w:rsidRDefault="008573FD" w:rsidP="00C95C2D">
      <w:pPr>
        <w:ind w:left="1080" w:hanging="720"/>
        <w:jc w:val="both"/>
      </w:pPr>
      <w:r>
        <w:t>5.</w:t>
      </w:r>
      <w:r>
        <w:tab/>
      </w:r>
      <w:r w:rsidR="009F6E25">
        <w:t xml:space="preserve">Except as expressly modified by this </w:t>
      </w:r>
      <w:r w:rsidR="000E6EDA">
        <w:t>Second</w:t>
      </w:r>
      <w:r w:rsidR="000C1573">
        <w:t xml:space="preserve"> </w:t>
      </w:r>
      <w:r w:rsidR="009F6E25">
        <w:t xml:space="preserve">Amendment, the </w:t>
      </w:r>
      <w:r w:rsidR="003653FD">
        <w:t>p</w:t>
      </w:r>
      <w:r w:rsidR="009F6E25">
        <w:t xml:space="preserve">arties agree and acknowledge that the </w:t>
      </w:r>
      <w:r w:rsidR="00F37269">
        <w:t>Amended</w:t>
      </w:r>
      <w:r w:rsidR="009E0E80">
        <w:t xml:space="preserve"> </w:t>
      </w:r>
      <w:r w:rsidR="00F46F9F">
        <w:t>Agreement</w:t>
      </w:r>
      <w:r w:rsidR="009F6E25">
        <w:t xml:space="preserve"> is and remains in full force and effect and binding on the </w:t>
      </w:r>
      <w:r w:rsidR="003653FD">
        <w:t>p</w:t>
      </w:r>
      <w:r w:rsidR="009F6E25">
        <w:t>arties.</w:t>
      </w:r>
    </w:p>
    <w:p w14:paraId="0D817EF5" w14:textId="77777777" w:rsidR="009F6E25" w:rsidRDefault="009F6E25" w:rsidP="00C95C2D">
      <w:pPr>
        <w:ind w:left="1080" w:hanging="720"/>
        <w:jc w:val="both"/>
      </w:pPr>
    </w:p>
    <w:p w14:paraId="3BF03CFE" w14:textId="77777777" w:rsidR="009F6E25" w:rsidRDefault="008A74A6" w:rsidP="00C95C2D">
      <w:pPr>
        <w:ind w:left="1080" w:hanging="720"/>
        <w:jc w:val="both"/>
      </w:pPr>
      <w:r>
        <w:t>6</w:t>
      </w:r>
      <w:r w:rsidR="004F0631">
        <w:t>.</w:t>
      </w:r>
      <w:r w:rsidR="004F0631">
        <w:tab/>
      </w:r>
      <w:r w:rsidR="009F6E25">
        <w:t xml:space="preserve">This </w:t>
      </w:r>
      <w:r w:rsidR="000E6EDA">
        <w:t>Second</w:t>
      </w:r>
      <w:r w:rsidR="009F6E25">
        <w:t xml:space="preserve"> Amendment may be executed in several counterparts, all of </w:t>
      </w:r>
      <w:r w:rsidR="00885178">
        <w:t>which when taken together shall constitute one agreement binding on both</w:t>
      </w:r>
      <w:r w:rsidR="009F6E25">
        <w:t xml:space="preserve"> </w:t>
      </w:r>
      <w:r w:rsidR="003653FD">
        <w:t>p</w:t>
      </w:r>
      <w:r w:rsidR="009F6E25">
        <w:t xml:space="preserve">arties, notwithstanding that </w:t>
      </w:r>
      <w:r w:rsidR="004010EE">
        <w:t>both</w:t>
      </w:r>
      <w:r w:rsidR="009F6E25">
        <w:t xml:space="preserve"> </w:t>
      </w:r>
      <w:r w:rsidR="003653FD">
        <w:t>p</w:t>
      </w:r>
      <w:r w:rsidR="009F6E25">
        <w:t xml:space="preserve">arties are not signatories to the same counterpart.  Each copy of this </w:t>
      </w:r>
      <w:r w:rsidR="000E6EDA">
        <w:t>Second</w:t>
      </w:r>
      <w:r w:rsidR="009F6E25">
        <w:t xml:space="preserve"> Amendment so executed shall </w:t>
      </w:r>
      <w:r w:rsidR="009F6E25">
        <w:lastRenderedPageBreak/>
        <w:t xml:space="preserve">constitute an original.  </w:t>
      </w:r>
      <w:proofErr w:type="gramStart"/>
      <w:r w:rsidR="009F6E25">
        <w:t xml:space="preserve">This </w:t>
      </w:r>
      <w:r w:rsidR="000E6EDA">
        <w:t>Second</w:t>
      </w:r>
      <w:r w:rsidR="009F6E25">
        <w:t xml:space="preserve"> Amendment may not be modified except by a writing signed by the </w:t>
      </w:r>
      <w:r w:rsidR="009326D6">
        <w:t>p</w:t>
      </w:r>
      <w:r w:rsidR="009F6E25">
        <w:t>arties</w:t>
      </w:r>
      <w:proofErr w:type="gramEnd"/>
      <w:r w:rsidR="009F6E25">
        <w:t>.</w:t>
      </w:r>
    </w:p>
    <w:p w14:paraId="0A60BAC3" w14:textId="77777777" w:rsidR="009F6E25" w:rsidRDefault="009F6E25" w:rsidP="00C95C2D">
      <w:pPr>
        <w:pStyle w:val="ListParagraph"/>
        <w:ind w:left="1080" w:hanging="720"/>
        <w:jc w:val="both"/>
      </w:pPr>
    </w:p>
    <w:p w14:paraId="3BE98030" w14:textId="77777777" w:rsidR="009F6E25" w:rsidRDefault="008A74A6" w:rsidP="000F6131">
      <w:pPr>
        <w:keepNext/>
        <w:ind w:left="1080" w:hanging="720"/>
        <w:jc w:val="both"/>
      </w:pPr>
      <w:r>
        <w:t>7</w:t>
      </w:r>
      <w:r w:rsidR="004F0631">
        <w:t>.</w:t>
      </w:r>
      <w:r w:rsidR="004F0631">
        <w:tab/>
      </w:r>
      <w:r w:rsidR="009F6E25">
        <w:t xml:space="preserve">Capitalized terms used but not defined in this </w:t>
      </w:r>
      <w:r w:rsidR="000E6EDA">
        <w:t>Second</w:t>
      </w:r>
      <w:r w:rsidR="009F6E25">
        <w:t xml:space="preserve"> Amendment shall have the meanings ascribed thereto in the </w:t>
      </w:r>
      <w:r w:rsidR="00F37269">
        <w:t>Amended</w:t>
      </w:r>
      <w:r w:rsidR="000C1573">
        <w:t xml:space="preserve"> Agreement</w:t>
      </w:r>
      <w:r w:rsidR="000E6EDA">
        <w:t>.</w:t>
      </w:r>
    </w:p>
    <w:p w14:paraId="07E797DE" w14:textId="77777777" w:rsidR="009F6E25" w:rsidRDefault="009F6E25" w:rsidP="000F6131">
      <w:pPr>
        <w:keepNext/>
        <w:ind w:left="360"/>
      </w:pPr>
    </w:p>
    <w:p w14:paraId="5AB9DEBD" w14:textId="77777777" w:rsidR="009F6E25" w:rsidRDefault="009F6E25" w:rsidP="000F6131">
      <w:pPr>
        <w:keepNext/>
      </w:pPr>
      <w:r>
        <w:tab/>
        <w:t xml:space="preserve">IN WITNESS WHEREOF, the </w:t>
      </w:r>
      <w:r w:rsidR="009326D6">
        <w:t>p</w:t>
      </w:r>
      <w:r>
        <w:t xml:space="preserve">arties hereto execute this </w:t>
      </w:r>
      <w:r w:rsidR="000E6EDA">
        <w:t>Second</w:t>
      </w:r>
      <w:r>
        <w:t xml:space="preserve"> Amendment effective as of the date first set forth above.</w:t>
      </w:r>
    </w:p>
    <w:p w14:paraId="27A2D041" w14:textId="77777777" w:rsidR="009F6E25" w:rsidRDefault="009F6E25" w:rsidP="000F6131">
      <w:pPr>
        <w:keepNext/>
        <w:ind w:left="360"/>
      </w:pPr>
    </w:p>
    <w:p w14:paraId="2C1C0E0E" w14:textId="77777777" w:rsidR="00080AE5" w:rsidRPr="004010EE" w:rsidRDefault="00080AE5" w:rsidP="000F6131">
      <w:pPr>
        <w:keepNext/>
        <w:tabs>
          <w:tab w:val="left" w:pos="0"/>
          <w:tab w:val="left" w:pos="3780"/>
        </w:tabs>
        <w:rPr>
          <w:rStyle w:val="DeltaViewInsertion"/>
          <w:b/>
          <w:bCs/>
          <w:color w:val="000000" w:themeColor="text1"/>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4428"/>
      </w:tblGrid>
      <w:tr w:rsidR="00080AE5" w14:paraId="0C38763B" w14:textId="77777777" w:rsidTr="00877692">
        <w:tc>
          <w:tcPr>
            <w:tcW w:w="4428" w:type="dxa"/>
          </w:tcPr>
          <w:p w14:paraId="4B53EAA7" w14:textId="77777777" w:rsidR="00080AE5" w:rsidRPr="004010EE" w:rsidRDefault="00080AE5" w:rsidP="000F6131">
            <w:pPr>
              <w:keepNext/>
              <w:tabs>
                <w:tab w:val="left" w:pos="4320"/>
              </w:tabs>
              <w:ind w:left="3600" w:hanging="3600"/>
              <w:rPr>
                <w:b/>
                <w:bCs/>
                <w:color w:val="000000" w:themeColor="text1"/>
              </w:rPr>
            </w:pPr>
            <w:r w:rsidRPr="00606269">
              <w:rPr>
                <w:rStyle w:val="DeltaViewInsertion"/>
                <w:bCs/>
                <w:color w:val="000000" w:themeColor="text1"/>
                <w:u w:val="none"/>
              </w:rPr>
              <w:t>MULTNOMAH COUNTY</w:t>
            </w:r>
            <w:r w:rsidRPr="004010EE">
              <w:rPr>
                <w:rStyle w:val="DeltaViewInsertion"/>
                <w:b/>
                <w:bCs/>
                <w:color w:val="000000" w:themeColor="text1"/>
                <w:u w:val="none"/>
              </w:rPr>
              <w:t>,</w:t>
            </w:r>
          </w:p>
          <w:p w14:paraId="6D5DF204" w14:textId="77777777" w:rsidR="00080AE5" w:rsidRDefault="00080AE5" w:rsidP="000F6131">
            <w:pPr>
              <w:keepNext/>
              <w:tabs>
                <w:tab w:val="left" w:pos="0"/>
                <w:tab w:val="left" w:pos="3780"/>
              </w:tabs>
              <w:rPr>
                <w:rStyle w:val="DeltaViewInsertion"/>
                <w:color w:val="000000" w:themeColor="text1"/>
                <w:u w:val="none"/>
              </w:rPr>
            </w:pPr>
            <w:bookmarkStart w:id="7" w:name="_DV_C561"/>
            <w:proofErr w:type="gramStart"/>
            <w:r w:rsidRPr="004010EE">
              <w:rPr>
                <w:rStyle w:val="DeltaViewInsertion"/>
                <w:color w:val="000000" w:themeColor="text1"/>
                <w:u w:val="none"/>
              </w:rPr>
              <w:t>a</w:t>
            </w:r>
            <w:proofErr w:type="gramEnd"/>
            <w:r w:rsidRPr="004010EE">
              <w:rPr>
                <w:rStyle w:val="DeltaViewInsertion"/>
                <w:color w:val="000000" w:themeColor="text1"/>
                <w:u w:val="none"/>
              </w:rPr>
              <w:t xml:space="preserve"> political subdivision of the State of Oregon</w:t>
            </w:r>
            <w:r w:rsidRPr="004010EE">
              <w:rPr>
                <w:rStyle w:val="DeltaViewInsertion"/>
                <w:color w:val="000000" w:themeColor="text1"/>
                <w:u w:val="none"/>
              </w:rPr>
              <w:br/>
            </w:r>
          </w:p>
          <w:p w14:paraId="481A6C21" w14:textId="77777777" w:rsidR="00C85943" w:rsidRDefault="00C85943" w:rsidP="000F6131">
            <w:pPr>
              <w:keepNext/>
              <w:tabs>
                <w:tab w:val="left" w:pos="0"/>
                <w:tab w:val="left" w:pos="3780"/>
              </w:tabs>
              <w:rPr>
                <w:rStyle w:val="DeltaViewInsertion"/>
                <w:color w:val="000000" w:themeColor="text1"/>
                <w:u w:val="none"/>
              </w:rPr>
            </w:pPr>
          </w:p>
          <w:p w14:paraId="38B2FE63" w14:textId="77777777" w:rsidR="00080AE5" w:rsidRDefault="00080AE5" w:rsidP="000F6131">
            <w:pPr>
              <w:keepNext/>
              <w:tabs>
                <w:tab w:val="left" w:pos="0"/>
                <w:tab w:val="left" w:pos="3780"/>
              </w:tabs>
              <w:rPr>
                <w:rStyle w:val="DeltaViewInsertion"/>
                <w:color w:val="000000" w:themeColor="text1"/>
                <w:u w:val="none"/>
              </w:rPr>
            </w:pPr>
            <w:r>
              <w:rPr>
                <w:rStyle w:val="DeltaViewInsertion"/>
                <w:color w:val="000000" w:themeColor="text1"/>
                <w:u w:val="none"/>
              </w:rPr>
              <w:t>By</w:t>
            </w:r>
            <w:proofErr w:type="gramStart"/>
            <w:r>
              <w:rPr>
                <w:rStyle w:val="DeltaViewInsertion"/>
                <w:color w:val="000000" w:themeColor="text1"/>
                <w:u w:val="none"/>
              </w:rPr>
              <w:t>:</w:t>
            </w:r>
            <w:r w:rsidRPr="004010EE">
              <w:rPr>
                <w:rStyle w:val="DeltaViewInsertion"/>
                <w:color w:val="000000" w:themeColor="text1"/>
                <w:u w:val="none"/>
              </w:rPr>
              <w:t>_</w:t>
            </w:r>
            <w:proofErr w:type="gramEnd"/>
            <w:r w:rsidRPr="004010EE">
              <w:rPr>
                <w:rStyle w:val="DeltaViewInsertion"/>
                <w:color w:val="000000" w:themeColor="text1"/>
                <w:u w:val="none"/>
              </w:rPr>
              <w:t>______________________</w:t>
            </w:r>
          </w:p>
          <w:p w14:paraId="45D5F1FC" w14:textId="77777777" w:rsidR="00C85943" w:rsidRDefault="008933F3" w:rsidP="000F6131">
            <w:pPr>
              <w:keepNext/>
              <w:tabs>
                <w:tab w:val="left" w:pos="0"/>
                <w:tab w:val="left" w:pos="3780"/>
              </w:tabs>
              <w:ind w:left="576"/>
              <w:rPr>
                <w:rStyle w:val="DeltaViewInsertion"/>
                <w:color w:val="000000" w:themeColor="text1"/>
                <w:u w:val="none"/>
              </w:rPr>
            </w:pPr>
            <w:r>
              <w:rPr>
                <w:rStyle w:val="DeltaViewInsertion"/>
                <w:color w:val="000000" w:themeColor="text1"/>
                <w:u w:val="none"/>
              </w:rPr>
              <w:t>Deborah Kafoury</w:t>
            </w:r>
            <w:r w:rsidR="00080AE5" w:rsidRPr="004010EE">
              <w:rPr>
                <w:rStyle w:val="DeltaViewInsertion"/>
                <w:color w:val="000000" w:themeColor="text1"/>
                <w:u w:val="none"/>
              </w:rPr>
              <w:t>,</w:t>
            </w:r>
            <w:r w:rsidR="00080AE5">
              <w:rPr>
                <w:rStyle w:val="DeltaViewInsertion"/>
                <w:color w:val="000000" w:themeColor="text1"/>
                <w:u w:val="none"/>
              </w:rPr>
              <w:t xml:space="preserve"> </w:t>
            </w:r>
          </w:p>
          <w:p w14:paraId="3BB1181B" w14:textId="77777777" w:rsidR="00080AE5" w:rsidRDefault="00080AE5" w:rsidP="000F6131">
            <w:pPr>
              <w:keepNext/>
              <w:tabs>
                <w:tab w:val="left" w:pos="0"/>
                <w:tab w:val="left" w:pos="3780"/>
              </w:tabs>
              <w:ind w:left="576"/>
              <w:rPr>
                <w:rStyle w:val="DeltaViewInsertion"/>
                <w:b/>
                <w:bCs/>
                <w:color w:val="000000" w:themeColor="text1"/>
                <w:u w:val="none"/>
              </w:rPr>
            </w:pPr>
            <w:r w:rsidRPr="004010EE">
              <w:rPr>
                <w:rStyle w:val="DeltaViewInsertion"/>
                <w:color w:val="000000" w:themeColor="text1"/>
                <w:u w:val="none"/>
              </w:rPr>
              <w:t>Chair</w:t>
            </w:r>
            <w:bookmarkEnd w:id="7"/>
          </w:p>
        </w:tc>
        <w:tc>
          <w:tcPr>
            <w:tcW w:w="4428" w:type="dxa"/>
          </w:tcPr>
          <w:p w14:paraId="13F68932" w14:textId="77777777" w:rsidR="00877692" w:rsidRDefault="00877692" w:rsidP="000F6131">
            <w:pPr>
              <w:keepNext/>
            </w:pPr>
            <w:r w:rsidRPr="00606269">
              <w:t>PORTLAND DEVELOPMENT COMMMISSION,</w:t>
            </w:r>
            <w:r>
              <w:t xml:space="preserve"> </w:t>
            </w:r>
            <w:r w:rsidRPr="00082599">
              <w:t>an urban renewal agency acting under ORS Chapter 457</w:t>
            </w:r>
          </w:p>
          <w:p w14:paraId="73F9FE48" w14:textId="77777777" w:rsidR="00877692" w:rsidRDefault="00877692" w:rsidP="000F6131">
            <w:pPr>
              <w:keepNext/>
              <w:ind w:left="360"/>
            </w:pPr>
          </w:p>
          <w:p w14:paraId="589CF60F" w14:textId="77777777" w:rsidR="00C85943" w:rsidRDefault="00C85943" w:rsidP="000F6131">
            <w:pPr>
              <w:keepNext/>
              <w:ind w:left="360"/>
            </w:pPr>
          </w:p>
          <w:p w14:paraId="1898787D" w14:textId="77777777" w:rsidR="00877692" w:rsidRDefault="00877692" w:rsidP="000F6131">
            <w:pPr>
              <w:keepNext/>
            </w:pPr>
            <w:r>
              <w:t>By: ____________________________</w:t>
            </w:r>
            <w:r>
              <w:tab/>
              <w:t>Patrick Quinton,</w:t>
            </w:r>
          </w:p>
          <w:p w14:paraId="2C53217D" w14:textId="77777777" w:rsidR="00080AE5" w:rsidRDefault="00877692" w:rsidP="000F6131">
            <w:pPr>
              <w:keepNext/>
              <w:rPr>
                <w:rStyle w:val="DeltaViewInsertion"/>
                <w:b/>
                <w:bCs/>
                <w:color w:val="000000" w:themeColor="text1"/>
                <w:u w:val="none"/>
              </w:rPr>
            </w:pPr>
            <w:r>
              <w:tab/>
              <w:t>Executive Director</w:t>
            </w:r>
          </w:p>
        </w:tc>
      </w:tr>
    </w:tbl>
    <w:p w14:paraId="6D1C634A" w14:textId="77777777" w:rsidR="00080AE5" w:rsidRDefault="00080AE5" w:rsidP="004010EE">
      <w:pPr>
        <w:keepLines/>
        <w:tabs>
          <w:tab w:val="left" w:pos="4320"/>
        </w:tabs>
        <w:ind w:left="3600" w:hanging="3600"/>
        <w:rPr>
          <w:rStyle w:val="DeltaViewInsertion"/>
          <w:bCs/>
          <w:color w:val="000000" w:themeColor="text1"/>
          <w:u w:val="none"/>
        </w:rPr>
      </w:pPr>
      <w:r w:rsidRPr="004010EE">
        <w:rPr>
          <w:rStyle w:val="DeltaViewInsertion"/>
          <w:b/>
          <w:bCs/>
          <w:color w:val="000000" w:themeColor="text1"/>
          <w:u w:val="none"/>
        </w:rPr>
        <w:br/>
      </w:r>
    </w:p>
    <w:p w14:paraId="7519EE03" w14:textId="77777777" w:rsidR="00080AE5" w:rsidRDefault="00080AE5" w:rsidP="004010EE">
      <w:pPr>
        <w:keepLines/>
        <w:tabs>
          <w:tab w:val="left" w:pos="4320"/>
        </w:tabs>
        <w:ind w:left="3600" w:hanging="3600"/>
        <w:rPr>
          <w:rStyle w:val="DeltaViewInsertion"/>
          <w:bCs/>
          <w:color w:val="000000" w:themeColor="text1"/>
          <w:u w: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754AC" w14:paraId="2201B1CC" w14:textId="77777777" w:rsidTr="008754AC">
        <w:tc>
          <w:tcPr>
            <w:tcW w:w="4428" w:type="dxa"/>
          </w:tcPr>
          <w:p w14:paraId="7ECCEB16" w14:textId="77777777" w:rsidR="00877692" w:rsidRPr="004010EE" w:rsidRDefault="00877692" w:rsidP="00877692">
            <w:pPr>
              <w:keepLines/>
              <w:tabs>
                <w:tab w:val="left" w:pos="0"/>
                <w:tab w:val="left" w:pos="3780"/>
              </w:tabs>
              <w:rPr>
                <w:color w:val="000000" w:themeColor="text1"/>
              </w:rPr>
            </w:pPr>
            <w:r w:rsidRPr="004010EE">
              <w:rPr>
                <w:rStyle w:val="DeltaViewInsertion"/>
                <w:color w:val="000000" w:themeColor="text1"/>
                <w:u w:val="none"/>
              </w:rPr>
              <w:t>Reviewed:</w:t>
            </w:r>
          </w:p>
          <w:p w14:paraId="1663B0E4" w14:textId="77777777" w:rsidR="00877692" w:rsidRPr="004010EE" w:rsidRDefault="00877692" w:rsidP="00877692">
            <w:pPr>
              <w:keepNext/>
              <w:tabs>
                <w:tab w:val="left" w:pos="4320"/>
              </w:tabs>
              <w:rPr>
                <w:color w:val="000000" w:themeColor="text1"/>
              </w:rPr>
            </w:pPr>
            <w:bookmarkStart w:id="8" w:name="_DV_C563"/>
            <w:r>
              <w:rPr>
                <w:rStyle w:val="DeltaViewInsertion"/>
                <w:color w:val="000000" w:themeColor="text1"/>
                <w:u w:val="none"/>
              </w:rPr>
              <w:t>JENNY M. MADKOUR</w:t>
            </w:r>
            <w:r w:rsidRPr="004010EE">
              <w:rPr>
                <w:rStyle w:val="DeltaViewInsertion"/>
                <w:color w:val="000000" w:themeColor="text1"/>
                <w:u w:val="none"/>
              </w:rPr>
              <w:t>, COUNTY ATTORNEY</w:t>
            </w:r>
            <w:bookmarkStart w:id="9" w:name="_DV_C564"/>
            <w:bookmarkEnd w:id="8"/>
            <w:r>
              <w:rPr>
                <w:rStyle w:val="DeltaViewInsertion"/>
                <w:color w:val="000000" w:themeColor="text1"/>
                <w:u w:val="none"/>
              </w:rPr>
              <w:t xml:space="preserve"> </w:t>
            </w:r>
            <w:r w:rsidRPr="004010EE">
              <w:rPr>
                <w:rStyle w:val="DeltaViewInsertion"/>
                <w:color w:val="000000" w:themeColor="text1"/>
                <w:u w:val="none"/>
              </w:rPr>
              <w:t>FOR MULTNOMAH COUNTY</w:t>
            </w:r>
            <w:bookmarkEnd w:id="9"/>
          </w:p>
          <w:p w14:paraId="0985E516" w14:textId="77777777" w:rsidR="00877692" w:rsidRDefault="00877692" w:rsidP="00877692">
            <w:pPr>
              <w:keepNext/>
              <w:tabs>
                <w:tab w:val="left" w:pos="4320"/>
              </w:tabs>
              <w:rPr>
                <w:rStyle w:val="DeltaViewInsertion"/>
                <w:color w:val="000000" w:themeColor="text1"/>
                <w:u w:val="none"/>
              </w:rPr>
            </w:pPr>
            <w:bookmarkStart w:id="10" w:name="_DV_C565"/>
            <w:r w:rsidRPr="004010EE">
              <w:rPr>
                <w:rStyle w:val="DeltaViewInsertion"/>
                <w:color w:val="000000" w:themeColor="text1"/>
                <w:u w:val="none"/>
              </w:rPr>
              <w:br/>
            </w:r>
            <w:bookmarkStart w:id="11" w:name="_DV_C566"/>
            <w:bookmarkEnd w:id="10"/>
            <w:r>
              <w:rPr>
                <w:rStyle w:val="DeltaViewInsertion"/>
                <w:color w:val="000000" w:themeColor="text1"/>
                <w:u w:val="none"/>
              </w:rPr>
              <w:t xml:space="preserve">By: </w:t>
            </w:r>
            <w:r w:rsidRPr="004010EE">
              <w:rPr>
                <w:rStyle w:val="DeltaViewInsertion"/>
                <w:color w:val="000000" w:themeColor="text1"/>
                <w:u w:val="none"/>
              </w:rPr>
              <w:t>_______________________</w:t>
            </w:r>
          </w:p>
          <w:p w14:paraId="70B230B1" w14:textId="77777777" w:rsidR="00877692" w:rsidRPr="004010EE" w:rsidRDefault="00877692" w:rsidP="00877692">
            <w:pPr>
              <w:keepNext/>
              <w:tabs>
                <w:tab w:val="left" w:pos="4320"/>
              </w:tabs>
              <w:ind w:left="576"/>
              <w:rPr>
                <w:color w:val="000000" w:themeColor="text1"/>
              </w:rPr>
            </w:pPr>
            <w:r w:rsidRPr="004010EE">
              <w:rPr>
                <w:rStyle w:val="DeltaViewInsertion"/>
                <w:color w:val="000000" w:themeColor="text1"/>
                <w:u w:val="none"/>
              </w:rPr>
              <w:t>Kenneth M. Elliott</w:t>
            </w:r>
            <w:bookmarkEnd w:id="11"/>
          </w:p>
          <w:p w14:paraId="7F02DCE0" w14:textId="77777777" w:rsidR="00877692" w:rsidRPr="004010EE" w:rsidRDefault="00877692" w:rsidP="00877692">
            <w:pPr>
              <w:keepNext/>
              <w:tabs>
                <w:tab w:val="left" w:pos="4320"/>
              </w:tabs>
              <w:ind w:left="576"/>
              <w:rPr>
                <w:color w:val="000000" w:themeColor="text1"/>
              </w:rPr>
            </w:pPr>
            <w:bookmarkStart w:id="12" w:name="_DV_M605"/>
            <w:bookmarkStart w:id="13" w:name="_DV_C567"/>
            <w:bookmarkEnd w:id="12"/>
            <w:r>
              <w:rPr>
                <w:color w:val="000000" w:themeColor="text1"/>
              </w:rPr>
              <w:t>As</w:t>
            </w:r>
            <w:r w:rsidRPr="004010EE">
              <w:rPr>
                <w:rStyle w:val="DeltaViewInsertion"/>
                <w:color w:val="000000" w:themeColor="text1"/>
                <w:u w:val="none"/>
              </w:rPr>
              <w:t>sistant County Attorney</w:t>
            </w:r>
            <w:bookmarkEnd w:id="13"/>
          </w:p>
          <w:p w14:paraId="2BE070D7" w14:textId="77777777" w:rsidR="00877692" w:rsidRDefault="00877692" w:rsidP="008754AC"/>
        </w:tc>
        <w:tc>
          <w:tcPr>
            <w:tcW w:w="4428" w:type="dxa"/>
          </w:tcPr>
          <w:p w14:paraId="5C55BE7F" w14:textId="77777777" w:rsidR="008754AC" w:rsidRDefault="008754AC" w:rsidP="008754AC">
            <w:r>
              <w:t>Approved as to Form:</w:t>
            </w:r>
          </w:p>
          <w:p w14:paraId="6079F889" w14:textId="77777777" w:rsidR="008754AC" w:rsidRDefault="008754AC" w:rsidP="008754AC"/>
          <w:p w14:paraId="424076E9" w14:textId="77777777" w:rsidR="00C85943" w:rsidRDefault="00C85943" w:rsidP="00877692"/>
          <w:p w14:paraId="3E1EAC00" w14:textId="77777777" w:rsidR="00877692" w:rsidRDefault="008754AC" w:rsidP="00877692">
            <w:r>
              <w:t>By: ___________________________</w:t>
            </w:r>
            <w:r>
              <w:tab/>
            </w:r>
            <w:r w:rsidR="00877692">
              <w:t>Name: __________________</w:t>
            </w:r>
          </w:p>
          <w:p w14:paraId="39B9504C" w14:textId="77777777" w:rsidR="00877692" w:rsidRDefault="00877692" w:rsidP="00877692">
            <w:pPr>
              <w:ind w:left="720"/>
            </w:pPr>
            <w:r>
              <w:t>PDC Attorney</w:t>
            </w:r>
          </w:p>
          <w:p w14:paraId="154A345A" w14:textId="77777777" w:rsidR="00877692" w:rsidRDefault="00877692" w:rsidP="00877692"/>
          <w:p w14:paraId="5AC711C6" w14:textId="77777777" w:rsidR="008754AC" w:rsidRDefault="008754AC" w:rsidP="00877692"/>
        </w:tc>
      </w:tr>
    </w:tbl>
    <w:p w14:paraId="360EA2EC" w14:textId="77777777" w:rsidR="00276D11" w:rsidRDefault="00276D11" w:rsidP="00150D39">
      <w:pPr>
        <w:jc w:val="center"/>
      </w:pPr>
    </w:p>
    <w:sectPr w:rsidR="00276D11" w:rsidSect="008754A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8CB8C" w14:textId="77777777" w:rsidR="00DB1E45" w:rsidRDefault="00DB1E45">
      <w:r>
        <w:separator/>
      </w:r>
    </w:p>
  </w:endnote>
  <w:endnote w:type="continuationSeparator" w:id="0">
    <w:p w14:paraId="730108C8" w14:textId="77777777" w:rsidR="00DB1E45" w:rsidRDefault="00DB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6A905" w14:textId="77777777" w:rsidR="00DB1E45" w:rsidRDefault="00DB1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F022D" w14:textId="77777777" w:rsidR="00DB1E45" w:rsidRDefault="00DB1E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F7A5" w14:textId="77777777" w:rsidR="00DB1E45" w:rsidRDefault="00DB1E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91A">
      <w:rPr>
        <w:rStyle w:val="PageNumber"/>
        <w:noProof/>
      </w:rPr>
      <w:t>1</w:t>
    </w:r>
    <w:r>
      <w:rPr>
        <w:rStyle w:val="PageNumber"/>
      </w:rPr>
      <w:fldChar w:fldCharType="end"/>
    </w:r>
  </w:p>
  <w:p w14:paraId="14F62E6A" w14:textId="77777777" w:rsidR="00DB1E45" w:rsidRDefault="00DB1E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CF9F8" w14:textId="77777777" w:rsidR="00DB1E45" w:rsidRDefault="00DB1E45">
      <w:r>
        <w:separator/>
      </w:r>
    </w:p>
  </w:footnote>
  <w:footnote w:type="continuationSeparator" w:id="0">
    <w:p w14:paraId="6F9994BB" w14:textId="77777777" w:rsidR="00DB1E45" w:rsidRDefault="00DB1E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40F5F"/>
    <w:multiLevelType w:val="hybridMultilevel"/>
    <w:tmpl w:val="6548ED64"/>
    <w:lvl w:ilvl="0" w:tplc="6FEC2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67968"/>
    <w:multiLevelType w:val="hybridMultilevel"/>
    <w:tmpl w:val="9BFCA750"/>
    <w:lvl w:ilvl="0" w:tplc="132A916C">
      <w:start w:val="1"/>
      <w:numFmt w:val="decimal"/>
      <w:lvlText w:val="%1."/>
      <w:lvlJc w:val="left"/>
      <w:pPr>
        <w:tabs>
          <w:tab w:val="num" w:pos="1080"/>
        </w:tabs>
        <w:ind w:left="1080" w:hanging="720"/>
      </w:pPr>
      <w:rPr>
        <w:rFonts w:hint="default"/>
        <w:b w:val="0"/>
      </w:rPr>
    </w:lvl>
    <w:lvl w:ilvl="1" w:tplc="0450B70E">
      <w:start w:val="6"/>
      <w:numFmt w:val="decimal"/>
      <w:lvlText w:val="%2."/>
      <w:lvlJc w:val="left"/>
      <w:pPr>
        <w:tabs>
          <w:tab w:val="num" w:pos="1440"/>
        </w:tabs>
        <w:ind w:left="1440" w:hanging="360"/>
      </w:pPr>
      <w:rPr>
        <w:rFonts w:hint="default"/>
      </w:rPr>
    </w:lvl>
    <w:lvl w:ilvl="2" w:tplc="E44820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8C6E04"/>
    <w:multiLevelType w:val="hybridMultilevel"/>
    <w:tmpl w:val="466C155E"/>
    <w:lvl w:ilvl="0" w:tplc="65F4BB7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A2523"/>
    <w:multiLevelType w:val="hybridMultilevel"/>
    <w:tmpl w:val="A4B89496"/>
    <w:lvl w:ilvl="0" w:tplc="E4D202D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E63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72197349"/>
    <w:multiLevelType w:val="hybridMultilevel"/>
    <w:tmpl w:val="12909770"/>
    <w:lvl w:ilvl="0" w:tplc="240E9CFA">
      <w:start w:val="1"/>
      <w:numFmt w:val="decimal"/>
      <w:lvlText w:val="%1."/>
      <w:lvlJc w:val="left"/>
      <w:pPr>
        <w:widowControl w:val="0"/>
        <w:tabs>
          <w:tab w:val="num" w:pos="720"/>
        </w:tabs>
        <w:autoSpaceDE w:val="0"/>
        <w:autoSpaceDN w:val="0"/>
        <w:adjustRightInd w:val="0"/>
        <w:ind w:left="720" w:hanging="360"/>
        <w:jc w:val="both"/>
      </w:pPr>
      <w:rPr>
        <w:rFonts w:ascii="Times New Roman" w:hAnsi="Times New Roman" w:cs="Times New Roman"/>
        <w:b w:val="0"/>
        <w:bCs w:val="0"/>
        <w:i w:val="0"/>
        <w:iCs w:val="0"/>
        <w:spacing w:val="0"/>
        <w:sz w:val="24"/>
        <w:szCs w:val="24"/>
      </w:rPr>
    </w:lvl>
    <w:lvl w:ilvl="1" w:tplc="FFFFFFFF">
      <w:start w:val="1"/>
      <w:numFmt w:val="lowerLetter"/>
      <w:lvlText w:val="%2."/>
      <w:lvlJc w:val="left"/>
      <w:pPr>
        <w:widowControl w:val="0"/>
        <w:tabs>
          <w:tab w:val="num" w:pos="1440"/>
        </w:tabs>
        <w:autoSpaceDE w:val="0"/>
        <w:autoSpaceDN w:val="0"/>
        <w:adjustRightInd w:val="0"/>
        <w:ind w:left="1440" w:hanging="360"/>
        <w:jc w:val="both"/>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jc w:val="both"/>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jc w:val="both"/>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jc w:val="both"/>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jc w:val="both"/>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jc w:val="both"/>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jc w:val="both"/>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jc w:val="both"/>
      </w:pPr>
      <w:rPr>
        <w:rFonts w:ascii="Times New Roman" w:hAnsi="Times New Roman" w:cs="Times New Roman"/>
        <w:spacing w:val="0"/>
        <w:sz w:val="24"/>
        <w:szCs w:val="24"/>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545B"/>
    <w:rsid w:val="00002F7C"/>
    <w:rsid w:val="0000717C"/>
    <w:rsid w:val="0001264D"/>
    <w:rsid w:val="00027179"/>
    <w:rsid w:val="00030243"/>
    <w:rsid w:val="000343D5"/>
    <w:rsid w:val="00050BCB"/>
    <w:rsid w:val="00051D52"/>
    <w:rsid w:val="00052B3A"/>
    <w:rsid w:val="00061AF3"/>
    <w:rsid w:val="00080AE5"/>
    <w:rsid w:val="00092F0A"/>
    <w:rsid w:val="000A1C68"/>
    <w:rsid w:val="000A684C"/>
    <w:rsid w:val="000C1573"/>
    <w:rsid w:val="000D4343"/>
    <w:rsid w:val="000D7101"/>
    <w:rsid w:val="000E22AE"/>
    <w:rsid w:val="000E3071"/>
    <w:rsid w:val="000E3C53"/>
    <w:rsid w:val="000E6EDA"/>
    <w:rsid w:val="000F0A1E"/>
    <w:rsid w:val="000F6131"/>
    <w:rsid w:val="000F65B4"/>
    <w:rsid w:val="00123747"/>
    <w:rsid w:val="001250C4"/>
    <w:rsid w:val="001256C1"/>
    <w:rsid w:val="00135EA0"/>
    <w:rsid w:val="00150D39"/>
    <w:rsid w:val="0019445B"/>
    <w:rsid w:val="001B21A9"/>
    <w:rsid w:val="001B4C4D"/>
    <w:rsid w:val="001B7E50"/>
    <w:rsid w:val="002368A0"/>
    <w:rsid w:val="0023755A"/>
    <w:rsid w:val="00255852"/>
    <w:rsid w:val="00275F6E"/>
    <w:rsid w:val="00276D11"/>
    <w:rsid w:val="0028671A"/>
    <w:rsid w:val="00290824"/>
    <w:rsid w:val="002A2302"/>
    <w:rsid w:val="002D248F"/>
    <w:rsid w:val="002E52D8"/>
    <w:rsid w:val="00304169"/>
    <w:rsid w:val="00313FA7"/>
    <w:rsid w:val="00330E84"/>
    <w:rsid w:val="003439BC"/>
    <w:rsid w:val="00356A60"/>
    <w:rsid w:val="00362B0C"/>
    <w:rsid w:val="003631D0"/>
    <w:rsid w:val="003653FD"/>
    <w:rsid w:val="0036600B"/>
    <w:rsid w:val="00367208"/>
    <w:rsid w:val="003766EA"/>
    <w:rsid w:val="003A5506"/>
    <w:rsid w:val="003C3192"/>
    <w:rsid w:val="003E02A7"/>
    <w:rsid w:val="004010EE"/>
    <w:rsid w:val="00420A5F"/>
    <w:rsid w:val="00426043"/>
    <w:rsid w:val="0043035E"/>
    <w:rsid w:val="00447379"/>
    <w:rsid w:val="00454679"/>
    <w:rsid w:val="00461F7E"/>
    <w:rsid w:val="004958A4"/>
    <w:rsid w:val="004A2829"/>
    <w:rsid w:val="004F0631"/>
    <w:rsid w:val="004F0A71"/>
    <w:rsid w:val="004F4C1C"/>
    <w:rsid w:val="00505919"/>
    <w:rsid w:val="00560D84"/>
    <w:rsid w:val="0056398A"/>
    <w:rsid w:val="00570344"/>
    <w:rsid w:val="00575BAF"/>
    <w:rsid w:val="00582220"/>
    <w:rsid w:val="00597ABE"/>
    <w:rsid w:val="005A20CF"/>
    <w:rsid w:val="005B1703"/>
    <w:rsid w:val="005B5EFF"/>
    <w:rsid w:val="005E588E"/>
    <w:rsid w:val="005E6E79"/>
    <w:rsid w:val="005E6FD1"/>
    <w:rsid w:val="00601E8E"/>
    <w:rsid w:val="00606269"/>
    <w:rsid w:val="0062232C"/>
    <w:rsid w:val="0063626F"/>
    <w:rsid w:val="00693F18"/>
    <w:rsid w:val="006A0673"/>
    <w:rsid w:val="006A3B30"/>
    <w:rsid w:val="006B1661"/>
    <w:rsid w:val="006C15E7"/>
    <w:rsid w:val="006C68A8"/>
    <w:rsid w:val="006D3FCE"/>
    <w:rsid w:val="006D6BBB"/>
    <w:rsid w:val="00701014"/>
    <w:rsid w:val="00706E56"/>
    <w:rsid w:val="00722FA7"/>
    <w:rsid w:val="00746A0F"/>
    <w:rsid w:val="00772C39"/>
    <w:rsid w:val="0079073D"/>
    <w:rsid w:val="007A2F6D"/>
    <w:rsid w:val="007B5BCA"/>
    <w:rsid w:val="007C3366"/>
    <w:rsid w:val="007D2B71"/>
    <w:rsid w:val="00821833"/>
    <w:rsid w:val="00831F1C"/>
    <w:rsid w:val="008573FD"/>
    <w:rsid w:val="00860B76"/>
    <w:rsid w:val="00867CE0"/>
    <w:rsid w:val="008754AC"/>
    <w:rsid w:val="008771B0"/>
    <w:rsid w:val="00877692"/>
    <w:rsid w:val="00880D52"/>
    <w:rsid w:val="00885178"/>
    <w:rsid w:val="008933F3"/>
    <w:rsid w:val="008A20D9"/>
    <w:rsid w:val="008A3229"/>
    <w:rsid w:val="008A74A6"/>
    <w:rsid w:val="008E5F92"/>
    <w:rsid w:val="0090101D"/>
    <w:rsid w:val="009326D6"/>
    <w:rsid w:val="00934E6C"/>
    <w:rsid w:val="00952AC1"/>
    <w:rsid w:val="00957FC1"/>
    <w:rsid w:val="0096365B"/>
    <w:rsid w:val="009656D9"/>
    <w:rsid w:val="009745B3"/>
    <w:rsid w:val="009C6F52"/>
    <w:rsid w:val="009D202A"/>
    <w:rsid w:val="009E0E80"/>
    <w:rsid w:val="009E3229"/>
    <w:rsid w:val="009F594C"/>
    <w:rsid w:val="009F6E25"/>
    <w:rsid w:val="00A1248B"/>
    <w:rsid w:val="00A13DF5"/>
    <w:rsid w:val="00A26A39"/>
    <w:rsid w:val="00A82E5D"/>
    <w:rsid w:val="00A90549"/>
    <w:rsid w:val="00A93656"/>
    <w:rsid w:val="00A93BBB"/>
    <w:rsid w:val="00A9691A"/>
    <w:rsid w:val="00AB5AFD"/>
    <w:rsid w:val="00AC09AB"/>
    <w:rsid w:val="00AF60B8"/>
    <w:rsid w:val="00B01C03"/>
    <w:rsid w:val="00B617BE"/>
    <w:rsid w:val="00B61D22"/>
    <w:rsid w:val="00B62033"/>
    <w:rsid w:val="00B63E45"/>
    <w:rsid w:val="00B752FE"/>
    <w:rsid w:val="00B9545B"/>
    <w:rsid w:val="00BE5236"/>
    <w:rsid w:val="00BE5267"/>
    <w:rsid w:val="00BE6286"/>
    <w:rsid w:val="00BF38F1"/>
    <w:rsid w:val="00BF7FE9"/>
    <w:rsid w:val="00C329BF"/>
    <w:rsid w:val="00C35488"/>
    <w:rsid w:val="00C67F61"/>
    <w:rsid w:val="00C71FB3"/>
    <w:rsid w:val="00C77053"/>
    <w:rsid w:val="00C85943"/>
    <w:rsid w:val="00C95C2D"/>
    <w:rsid w:val="00CD42CF"/>
    <w:rsid w:val="00CE5087"/>
    <w:rsid w:val="00D14AC4"/>
    <w:rsid w:val="00D247DC"/>
    <w:rsid w:val="00D34C62"/>
    <w:rsid w:val="00D869A3"/>
    <w:rsid w:val="00D9535D"/>
    <w:rsid w:val="00DB1E45"/>
    <w:rsid w:val="00DB2A7D"/>
    <w:rsid w:val="00DC4CB5"/>
    <w:rsid w:val="00DC65D1"/>
    <w:rsid w:val="00DD1033"/>
    <w:rsid w:val="00DE31DA"/>
    <w:rsid w:val="00DE7F3F"/>
    <w:rsid w:val="00E00533"/>
    <w:rsid w:val="00E10FD1"/>
    <w:rsid w:val="00E11969"/>
    <w:rsid w:val="00E12D6C"/>
    <w:rsid w:val="00E4474F"/>
    <w:rsid w:val="00E85283"/>
    <w:rsid w:val="00E921CD"/>
    <w:rsid w:val="00E92EF5"/>
    <w:rsid w:val="00EA20B5"/>
    <w:rsid w:val="00ED671B"/>
    <w:rsid w:val="00F14DF2"/>
    <w:rsid w:val="00F232DE"/>
    <w:rsid w:val="00F37269"/>
    <w:rsid w:val="00F46F9F"/>
    <w:rsid w:val="00F551DF"/>
    <w:rsid w:val="00F757A0"/>
    <w:rsid w:val="00F8055C"/>
    <w:rsid w:val="00F84DFD"/>
    <w:rsid w:val="00F8668C"/>
    <w:rsid w:val="00F868E0"/>
    <w:rsid w:val="00FA5F58"/>
    <w:rsid w:val="00FA67A4"/>
    <w:rsid w:val="00FC4F5C"/>
    <w:rsid w:val="00FD23B4"/>
    <w:rsid w:val="00FD7741"/>
    <w:rsid w:val="00FE58B0"/>
    <w:rsid w:val="00FF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B1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7053"/>
    <w:rPr>
      <w:rFonts w:ascii="Tahoma" w:hAnsi="Tahoma" w:cs="Tahoma"/>
      <w:sz w:val="16"/>
      <w:szCs w:val="16"/>
    </w:rPr>
  </w:style>
  <w:style w:type="paragraph" w:styleId="Footer">
    <w:name w:val="footer"/>
    <w:basedOn w:val="Normal"/>
    <w:rsid w:val="00C77053"/>
    <w:pPr>
      <w:tabs>
        <w:tab w:val="center" w:pos="4320"/>
        <w:tab w:val="right" w:pos="8640"/>
      </w:tabs>
    </w:pPr>
  </w:style>
  <w:style w:type="character" w:styleId="PageNumber">
    <w:name w:val="page number"/>
    <w:basedOn w:val="DefaultParagraphFont"/>
    <w:rsid w:val="00C77053"/>
  </w:style>
  <w:style w:type="paragraph" w:styleId="ListParagraph">
    <w:name w:val="List Paragraph"/>
    <w:basedOn w:val="Normal"/>
    <w:uiPriority w:val="34"/>
    <w:qFormat/>
    <w:rsid w:val="00C77053"/>
    <w:pPr>
      <w:ind w:left="720"/>
    </w:pPr>
  </w:style>
  <w:style w:type="table" w:styleId="TableGrid">
    <w:name w:val="Table Grid"/>
    <w:basedOn w:val="TableNormal"/>
    <w:uiPriority w:val="59"/>
    <w:rsid w:val="00E921CD"/>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4169"/>
    <w:rPr>
      <w:sz w:val="16"/>
      <w:szCs w:val="16"/>
    </w:rPr>
  </w:style>
  <w:style w:type="paragraph" w:styleId="CommentText">
    <w:name w:val="annotation text"/>
    <w:basedOn w:val="Normal"/>
    <w:link w:val="CommentTextChar"/>
    <w:uiPriority w:val="99"/>
    <w:semiHidden/>
    <w:unhideWhenUsed/>
    <w:rsid w:val="00304169"/>
    <w:rPr>
      <w:sz w:val="20"/>
      <w:szCs w:val="20"/>
    </w:rPr>
  </w:style>
  <w:style w:type="character" w:customStyle="1" w:styleId="CommentTextChar">
    <w:name w:val="Comment Text Char"/>
    <w:basedOn w:val="DefaultParagraphFont"/>
    <w:link w:val="CommentText"/>
    <w:uiPriority w:val="99"/>
    <w:semiHidden/>
    <w:rsid w:val="00304169"/>
  </w:style>
  <w:style w:type="paragraph" w:styleId="CommentSubject">
    <w:name w:val="annotation subject"/>
    <w:basedOn w:val="CommentText"/>
    <w:next w:val="CommentText"/>
    <w:link w:val="CommentSubjectChar"/>
    <w:uiPriority w:val="99"/>
    <w:semiHidden/>
    <w:unhideWhenUsed/>
    <w:rsid w:val="00304169"/>
    <w:rPr>
      <w:b/>
      <w:bCs/>
    </w:rPr>
  </w:style>
  <w:style w:type="character" w:customStyle="1" w:styleId="CommentSubjectChar">
    <w:name w:val="Comment Subject Char"/>
    <w:basedOn w:val="CommentTextChar"/>
    <w:link w:val="CommentSubject"/>
    <w:uiPriority w:val="99"/>
    <w:semiHidden/>
    <w:rsid w:val="00304169"/>
    <w:rPr>
      <w:b/>
      <w:bCs/>
    </w:rPr>
  </w:style>
  <w:style w:type="character" w:customStyle="1" w:styleId="DeltaViewInsertion">
    <w:name w:val="DeltaView Insertion"/>
    <w:uiPriority w:val="99"/>
    <w:rsid w:val="003C3192"/>
    <w:rPr>
      <w:color w:val="0000FF"/>
      <w:u w:val="double"/>
    </w:rPr>
  </w:style>
  <w:style w:type="character" w:customStyle="1" w:styleId="apple-converted-space">
    <w:name w:val="apple-converted-space"/>
    <w:basedOn w:val="DefaultParagraphFont"/>
    <w:rsid w:val="00505919"/>
  </w:style>
  <w:style w:type="character" w:customStyle="1" w:styleId="aqj">
    <w:name w:val="aqj"/>
    <w:basedOn w:val="DefaultParagraphFont"/>
    <w:rsid w:val="00505919"/>
  </w:style>
  <w:style w:type="paragraph" w:styleId="Revision">
    <w:name w:val="Revision"/>
    <w:hidden/>
    <w:uiPriority w:val="99"/>
    <w:semiHidden/>
    <w:rsid w:val="00A26A3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1696</Words>
  <Characters>9668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AMENDMENT TO SETTLEMENT AGREEMENT</vt:lpstr>
    </vt:vector>
  </TitlesOfParts>
  <Company>Portland Development Commission</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SETTLEMENT AGREEMENT</dc:title>
  <dc:creator>David Elott</dc:creator>
  <cp:lastModifiedBy>John Tydlaska</cp:lastModifiedBy>
  <cp:revision>4</cp:revision>
  <cp:lastPrinted>2014-05-13T17:20:00Z</cp:lastPrinted>
  <dcterms:created xsi:type="dcterms:W3CDTF">2015-06-08T21:57:00Z</dcterms:created>
  <dcterms:modified xsi:type="dcterms:W3CDTF">2015-06-11T04:57:00Z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UFAAPw6bUgrQkNGeMrqAFRAx6/pwC4wU07Mx7I3xaeKhAJcHl4QMkBEZgYexImvy7wxtRHVoXpPKMddV
V/raZL7mCErpnYixFoskcMf3Wg2T5G646rsrZNPHfDGReFcq+/ORDa0WiFCK14M+7fuAWGmaytbJ
fqfjFdDRihD5iMqHcljegrZTwBLHellImF7FeHPuLiDNOyvPQ6HCOEIoypDSeWEoiAJws7HZyYVP
yDc0KCmbr7VtsCfJx</vt:lpwstr>
  </property>
  <property fmtid="{D5CDD505-2E9C-101B-9397-08002B2CF9AE}" pid="3" name="RESPONSE_SENDER_NAME">
    <vt:lpwstr>gAAAJ+PfKkF/6hjvFMgT8NdZ2QFbHCt71MDz</vt:lpwstr>
  </property>
  <property fmtid="{D5CDD505-2E9C-101B-9397-08002B2CF9AE}" pid="4" name="EMAIL_OWNER_ADDRESS">
    <vt:lpwstr>sAAA4E8dREqJqIppecsLkcOqc+cD0HkbNORC94EmuLCGjtU=</vt:lpwstr>
  </property>
  <property fmtid="{D5CDD505-2E9C-101B-9397-08002B2CF9AE}" pid="5" name="MAIL_MSG_ID2">
    <vt:lpwstr>CKTk/CI06RCaJLFoNvhKTDJuNA2+vyCHetYAIRwszQzC14OLSsJ5YpgQTqS
aMHaJsBqzD/u9JP1MJ8UU0mkCD8=</vt:lpwstr>
  </property>
</Properties>
</file>