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38AE" w:rsidRDefault="003638AE" w:rsidP="00873DD0">
      <w:bookmarkStart w:id="0" w:name="_GoBack"/>
      <w:bookmarkEnd w:id="0"/>
    </w:p>
    <w:p w:rsidR="0056478D" w:rsidRDefault="0056478D" w:rsidP="00873DD0"/>
    <w:p w:rsidR="0056478D" w:rsidRDefault="0056478D" w:rsidP="00873DD0"/>
    <w:p w:rsidR="0056478D" w:rsidRPr="007B2093" w:rsidRDefault="0056478D" w:rsidP="00873DD0"/>
    <w:p w:rsidR="003638AE" w:rsidRPr="007B2093" w:rsidRDefault="003638AE" w:rsidP="00873DD0"/>
    <w:p w:rsidR="003638AE" w:rsidRPr="007B2093" w:rsidRDefault="003638AE" w:rsidP="00873DD0"/>
    <w:p w:rsidR="003638AE" w:rsidRPr="00391942" w:rsidRDefault="00391942" w:rsidP="00873DD0">
      <w:pPr>
        <w:rPr>
          <w:i/>
          <w:sz w:val="52"/>
          <w:szCs w:val="52"/>
        </w:rPr>
      </w:pPr>
      <w:proofErr w:type="spellStart"/>
      <w:r>
        <w:rPr>
          <w:i/>
          <w:sz w:val="52"/>
          <w:szCs w:val="52"/>
        </w:rPr>
        <w:t>OpsCenter</w:t>
      </w:r>
      <w:proofErr w:type="spellEnd"/>
      <w:r>
        <w:rPr>
          <w:i/>
          <w:sz w:val="52"/>
          <w:szCs w:val="52"/>
        </w:rPr>
        <w:t xml:space="preserve"> November 2018</w:t>
      </w:r>
    </w:p>
    <w:p w:rsidR="0056478D" w:rsidRDefault="001D5A4F" w:rsidP="0056478D">
      <w:pPr>
        <w:rPr>
          <w:sz w:val="48"/>
          <w:szCs w:val="48"/>
        </w:rPr>
      </w:pPr>
      <w:r>
        <w:rPr>
          <w:sz w:val="48"/>
          <w:szCs w:val="48"/>
        </w:rPr>
        <w:t>After-Action Report</w:t>
      </w:r>
    </w:p>
    <w:p w:rsidR="00C264D8" w:rsidRPr="00597CCF" w:rsidRDefault="00522A23" w:rsidP="0056478D">
      <w:pPr>
        <w:rPr>
          <w:sz w:val="48"/>
          <w:szCs w:val="48"/>
        </w:rPr>
      </w:pPr>
      <w:r>
        <w:rPr>
          <w:sz w:val="48"/>
          <w:szCs w:val="48"/>
        </w:rPr>
        <w:t>January</w:t>
      </w:r>
      <w:r w:rsidR="00024D18">
        <w:rPr>
          <w:sz w:val="48"/>
          <w:szCs w:val="48"/>
        </w:rPr>
        <w:t xml:space="preserve"> 2019</w:t>
      </w:r>
    </w:p>
    <w:p w:rsidR="004A1E72" w:rsidRDefault="00D77FC2" w:rsidP="00873DD0">
      <w:r w:rsidRPr="007B2093">
        <w:rPr>
          <w:noProof/>
        </w:rPr>
        <w:drawing>
          <wp:anchor distT="0" distB="0" distL="114300" distR="114300" simplePos="0" relativeHeight="251661824" behindDoc="0" locked="0" layoutInCell="1" allowOverlap="1">
            <wp:simplePos x="0" y="0"/>
            <wp:positionH relativeFrom="margin">
              <wp:align>left</wp:align>
            </wp:positionH>
            <wp:positionV relativeFrom="paragraph">
              <wp:posOffset>58420</wp:posOffset>
            </wp:positionV>
            <wp:extent cx="2466975" cy="763270"/>
            <wp:effectExtent l="0" t="0" r="9525" b="0"/>
            <wp:wrapSquare wrapText="bothSides"/>
            <wp:docPr id="1" name="Picture 1" descr="https://lh5.googleusercontent.com/YtgpVOCrC-JIufdIOBSTslm4IFuV46GcG_htmSIBa0Q1UxV89W3gLSAynm6ImaTd0EvSN8UI53uhpzVgatAjphLfmFYxyY_LlB_jnan6JlDiTHX1c61R7AL7esYjgoPmeGT743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YtgpVOCrC-JIufdIOBSTslm4IFuV46GcG_htmSIBa0Q1UxV89W3gLSAynm6ImaTd0EvSN8UI53uhpzVgatAjphLfmFYxyY_LlB_jnan6JlDiTHX1c61R7AL7esYjgoPmeGT743M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66975" cy="7632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97CCF" w:rsidRPr="007B2093" w:rsidRDefault="00597CCF" w:rsidP="00873DD0"/>
    <w:p w:rsidR="003638AE" w:rsidRDefault="003638AE" w:rsidP="00873DD0"/>
    <w:p w:rsidR="00597CCF" w:rsidRDefault="00597CCF" w:rsidP="00873DD0"/>
    <w:p w:rsidR="00597CCF" w:rsidRDefault="00597CCF" w:rsidP="00873DD0"/>
    <w:p w:rsidR="0056478D" w:rsidRDefault="0056478D" w:rsidP="00873DD0"/>
    <w:p w:rsidR="0056478D" w:rsidRDefault="0056478D" w:rsidP="00873DD0"/>
    <w:p w:rsidR="0056478D" w:rsidRDefault="0056478D" w:rsidP="00873DD0"/>
    <w:p w:rsidR="0056478D" w:rsidRDefault="0056478D" w:rsidP="00873DD0"/>
    <w:p w:rsidR="0056478D" w:rsidRDefault="0056478D" w:rsidP="00873DD0"/>
    <w:p w:rsidR="0056478D" w:rsidRPr="007B2093" w:rsidRDefault="0056478D" w:rsidP="00873DD0"/>
    <w:p w:rsidR="003638AE" w:rsidRDefault="003638AE" w:rsidP="00873DD0"/>
    <w:p w:rsidR="00597CCF" w:rsidRDefault="00597CCF" w:rsidP="00873DD0"/>
    <w:p w:rsidR="004B2D14" w:rsidRDefault="004B2D14" w:rsidP="00873DD0"/>
    <w:p w:rsidR="004B2D14" w:rsidRDefault="004B2D14" w:rsidP="00873DD0"/>
    <w:p w:rsidR="004B2D14" w:rsidRPr="007B2093" w:rsidRDefault="004B2D14" w:rsidP="00873DD0"/>
    <w:p w:rsidR="003638AE" w:rsidRPr="007B2093" w:rsidRDefault="003638AE" w:rsidP="00873DD0"/>
    <w:p w:rsidR="001D5A4F" w:rsidRPr="009B2D44" w:rsidRDefault="001D5A4F" w:rsidP="001D5A4F">
      <w:pPr>
        <w:jc w:val="both"/>
      </w:pPr>
      <w:r w:rsidRPr="009B2D44">
        <w:t>The After-Action Report/Improvement Plan (AAR/IP) aligns exercise objectives with preparedness doctrine to include the National Preparedness Goal and related framework and guidance. Exercise information required for preparedness reporting and trend analysis is included; users are encouraged to add additional sections as needed to support their own organizational needs.</w:t>
      </w:r>
    </w:p>
    <w:p w:rsidR="00B17137" w:rsidRPr="00B41A62" w:rsidRDefault="00B17137" w:rsidP="00B41A62">
      <w:pPr>
        <w:pStyle w:val="NoSpacing"/>
        <w:rPr>
          <w:b/>
          <w:smallCaps/>
          <w:color w:val="002060"/>
          <w:sz w:val="36"/>
        </w:rPr>
      </w:pPr>
      <w:r w:rsidRPr="00B41A62">
        <w:rPr>
          <w:b/>
          <w:smallCaps/>
          <w:color w:val="002060"/>
          <w:sz w:val="36"/>
        </w:rPr>
        <w:lastRenderedPageBreak/>
        <w:t>Table of Contents</w:t>
      </w:r>
    </w:p>
    <w:sdt>
      <w:sdtPr>
        <w:rPr>
          <w:rFonts w:ascii="Times New Roman" w:eastAsia="Times New Roman" w:hAnsi="Times New Roman" w:cs="Times New Roman"/>
          <w:color w:val="auto"/>
          <w:sz w:val="24"/>
          <w:szCs w:val="24"/>
        </w:rPr>
        <w:id w:val="1506318925"/>
        <w:docPartObj>
          <w:docPartGallery w:val="Table of Contents"/>
          <w:docPartUnique/>
        </w:docPartObj>
      </w:sdtPr>
      <w:sdtEndPr>
        <w:rPr>
          <w:b/>
          <w:bCs/>
          <w:noProof/>
        </w:rPr>
      </w:sdtEndPr>
      <w:sdtContent>
        <w:p w:rsidR="00B17137" w:rsidRPr="00B17137" w:rsidRDefault="00B17137" w:rsidP="00B17137">
          <w:pPr>
            <w:pStyle w:val="TOCHeading"/>
            <w:spacing w:before="0" w:line="240" w:lineRule="auto"/>
            <w:rPr>
              <w:sz w:val="14"/>
            </w:rPr>
          </w:pPr>
        </w:p>
        <w:p w:rsidR="00B132FB" w:rsidRDefault="001F6A7B">
          <w:pPr>
            <w:pStyle w:val="TOC1"/>
            <w:tabs>
              <w:tab w:val="right" w:leader="dot" w:pos="9350"/>
            </w:tabs>
            <w:rPr>
              <w:rFonts w:asciiTheme="minorHAnsi" w:eastAsiaTheme="minorEastAsia" w:hAnsiTheme="minorHAnsi" w:cstheme="minorBidi"/>
              <w:noProof/>
              <w:sz w:val="22"/>
              <w:szCs w:val="22"/>
            </w:rPr>
          </w:pPr>
          <w:r>
            <w:rPr>
              <w:bCs/>
              <w:noProof/>
            </w:rPr>
            <w:fldChar w:fldCharType="begin"/>
          </w:r>
          <w:r>
            <w:rPr>
              <w:bCs/>
              <w:noProof/>
            </w:rPr>
            <w:instrText xml:space="preserve"> TOC \o "1-3" \h \z \u </w:instrText>
          </w:r>
          <w:r>
            <w:rPr>
              <w:bCs/>
              <w:noProof/>
            </w:rPr>
            <w:fldChar w:fldCharType="separate"/>
          </w:r>
          <w:hyperlink w:anchor="_Toc532976021" w:history="1">
            <w:r w:rsidR="00B132FB" w:rsidRPr="00C97E0D">
              <w:rPr>
                <w:rStyle w:val="Hyperlink"/>
                <w:rFonts w:eastAsia="Arial"/>
                <w:noProof/>
              </w:rPr>
              <w:t>Exercise Overview</w:t>
            </w:r>
            <w:r w:rsidR="00B132FB">
              <w:rPr>
                <w:noProof/>
                <w:webHidden/>
              </w:rPr>
              <w:tab/>
            </w:r>
            <w:r w:rsidR="00B132FB">
              <w:rPr>
                <w:noProof/>
                <w:webHidden/>
              </w:rPr>
              <w:fldChar w:fldCharType="begin"/>
            </w:r>
            <w:r w:rsidR="00B132FB">
              <w:rPr>
                <w:noProof/>
                <w:webHidden/>
              </w:rPr>
              <w:instrText xml:space="preserve"> PAGEREF _Toc532976021 \h </w:instrText>
            </w:r>
            <w:r w:rsidR="00B132FB">
              <w:rPr>
                <w:noProof/>
                <w:webHidden/>
              </w:rPr>
            </w:r>
            <w:r w:rsidR="00B132FB">
              <w:rPr>
                <w:noProof/>
                <w:webHidden/>
              </w:rPr>
              <w:fldChar w:fldCharType="separate"/>
            </w:r>
            <w:r w:rsidR="00B132FB">
              <w:rPr>
                <w:noProof/>
                <w:webHidden/>
              </w:rPr>
              <w:t>2</w:t>
            </w:r>
            <w:r w:rsidR="00B132FB">
              <w:rPr>
                <w:noProof/>
                <w:webHidden/>
              </w:rPr>
              <w:fldChar w:fldCharType="end"/>
            </w:r>
          </w:hyperlink>
        </w:p>
        <w:p w:rsidR="00B132FB" w:rsidRDefault="00023916">
          <w:pPr>
            <w:pStyle w:val="TOC1"/>
            <w:tabs>
              <w:tab w:val="right" w:leader="dot" w:pos="9350"/>
            </w:tabs>
            <w:rPr>
              <w:rFonts w:asciiTheme="minorHAnsi" w:eastAsiaTheme="minorEastAsia" w:hAnsiTheme="minorHAnsi" w:cstheme="minorBidi"/>
              <w:noProof/>
              <w:sz w:val="22"/>
              <w:szCs w:val="22"/>
            </w:rPr>
          </w:pPr>
          <w:hyperlink w:anchor="_Toc532976022" w:history="1">
            <w:r w:rsidR="00B132FB" w:rsidRPr="00C97E0D">
              <w:rPr>
                <w:rStyle w:val="Hyperlink"/>
                <w:noProof/>
              </w:rPr>
              <w:t>Exercise Objectives and Core Capabilities</w:t>
            </w:r>
            <w:r w:rsidR="00B132FB">
              <w:rPr>
                <w:noProof/>
                <w:webHidden/>
              </w:rPr>
              <w:tab/>
            </w:r>
            <w:r w:rsidR="00B132FB">
              <w:rPr>
                <w:noProof/>
                <w:webHidden/>
              </w:rPr>
              <w:fldChar w:fldCharType="begin"/>
            </w:r>
            <w:r w:rsidR="00B132FB">
              <w:rPr>
                <w:noProof/>
                <w:webHidden/>
              </w:rPr>
              <w:instrText xml:space="preserve"> PAGEREF _Toc532976022 \h </w:instrText>
            </w:r>
            <w:r w:rsidR="00B132FB">
              <w:rPr>
                <w:noProof/>
                <w:webHidden/>
              </w:rPr>
            </w:r>
            <w:r w:rsidR="00B132FB">
              <w:rPr>
                <w:noProof/>
                <w:webHidden/>
              </w:rPr>
              <w:fldChar w:fldCharType="separate"/>
            </w:r>
            <w:r w:rsidR="00B132FB">
              <w:rPr>
                <w:noProof/>
                <w:webHidden/>
              </w:rPr>
              <w:t>3</w:t>
            </w:r>
            <w:r w:rsidR="00B132FB">
              <w:rPr>
                <w:noProof/>
                <w:webHidden/>
              </w:rPr>
              <w:fldChar w:fldCharType="end"/>
            </w:r>
          </w:hyperlink>
        </w:p>
        <w:p w:rsidR="00B132FB" w:rsidRDefault="00023916">
          <w:pPr>
            <w:pStyle w:val="TOC1"/>
            <w:tabs>
              <w:tab w:val="right" w:leader="dot" w:pos="9350"/>
            </w:tabs>
            <w:rPr>
              <w:rFonts w:asciiTheme="minorHAnsi" w:eastAsiaTheme="minorEastAsia" w:hAnsiTheme="minorHAnsi" w:cstheme="minorBidi"/>
              <w:noProof/>
              <w:sz w:val="22"/>
              <w:szCs w:val="22"/>
            </w:rPr>
          </w:pPr>
          <w:hyperlink w:anchor="_Toc532976023" w:history="1">
            <w:r w:rsidR="00B132FB" w:rsidRPr="00C97E0D">
              <w:rPr>
                <w:rStyle w:val="Hyperlink"/>
                <w:noProof/>
              </w:rPr>
              <w:t>Exercise Background &amp; Summary</w:t>
            </w:r>
            <w:r w:rsidR="00B132FB">
              <w:rPr>
                <w:noProof/>
                <w:webHidden/>
              </w:rPr>
              <w:tab/>
            </w:r>
            <w:r w:rsidR="00B132FB">
              <w:rPr>
                <w:noProof/>
                <w:webHidden/>
              </w:rPr>
              <w:fldChar w:fldCharType="begin"/>
            </w:r>
            <w:r w:rsidR="00B132FB">
              <w:rPr>
                <w:noProof/>
                <w:webHidden/>
              </w:rPr>
              <w:instrText xml:space="preserve"> PAGEREF _Toc532976023 \h </w:instrText>
            </w:r>
            <w:r w:rsidR="00B132FB">
              <w:rPr>
                <w:noProof/>
                <w:webHidden/>
              </w:rPr>
            </w:r>
            <w:r w:rsidR="00B132FB">
              <w:rPr>
                <w:noProof/>
                <w:webHidden/>
              </w:rPr>
              <w:fldChar w:fldCharType="separate"/>
            </w:r>
            <w:r w:rsidR="00B132FB">
              <w:rPr>
                <w:noProof/>
                <w:webHidden/>
              </w:rPr>
              <w:t>3</w:t>
            </w:r>
            <w:r w:rsidR="00B132FB">
              <w:rPr>
                <w:noProof/>
                <w:webHidden/>
              </w:rPr>
              <w:fldChar w:fldCharType="end"/>
            </w:r>
          </w:hyperlink>
        </w:p>
        <w:p w:rsidR="00B132FB" w:rsidRDefault="00023916">
          <w:pPr>
            <w:pStyle w:val="TOC1"/>
            <w:tabs>
              <w:tab w:val="right" w:leader="dot" w:pos="9350"/>
            </w:tabs>
            <w:rPr>
              <w:rFonts w:asciiTheme="minorHAnsi" w:eastAsiaTheme="minorEastAsia" w:hAnsiTheme="minorHAnsi" w:cstheme="minorBidi"/>
              <w:noProof/>
              <w:sz w:val="22"/>
              <w:szCs w:val="22"/>
            </w:rPr>
          </w:pPr>
          <w:hyperlink w:anchor="_Toc532976024" w:history="1">
            <w:r w:rsidR="00B132FB" w:rsidRPr="00C97E0D">
              <w:rPr>
                <w:rStyle w:val="Hyperlink"/>
                <w:noProof/>
              </w:rPr>
              <w:t>Analysis of Objective &amp; Core Capabilities</w:t>
            </w:r>
            <w:r w:rsidR="00B132FB">
              <w:rPr>
                <w:noProof/>
                <w:webHidden/>
              </w:rPr>
              <w:tab/>
            </w:r>
            <w:r w:rsidR="00B132FB">
              <w:rPr>
                <w:noProof/>
                <w:webHidden/>
              </w:rPr>
              <w:fldChar w:fldCharType="begin"/>
            </w:r>
            <w:r w:rsidR="00B132FB">
              <w:rPr>
                <w:noProof/>
                <w:webHidden/>
              </w:rPr>
              <w:instrText xml:space="preserve"> PAGEREF _Toc532976024 \h </w:instrText>
            </w:r>
            <w:r w:rsidR="00B132FB">
              <w:rPr>
                <w:noProof/>
                <w:webHidden/>
              </w:rPr>
            </w:r>
            <w:r w:rsidR="00B132FB">
              <w:rPr>
                <w:noProof/>
                <w:webHidden/>
              </w:rPr>
              <w:fldChar w:fldCharType="separate"/>
            </w:r>
            <w:r w:rsidR="00B132FB">
              <w:rPr>
                <w:noProof/>
                <w:webHidden/>
              </w:rPr>
              <w:t>4</w:t>
            </w:r>
            <w:r w:rsidR="00B132FB">
              <w:rPr>
                <w:noProof/>
                <w:webHidden/>
              </w:rPr>
              <w:fldChar w:fldCharType="end"/>
            </w:r>
          </w:hyperlink>
        </w:p>
        <w:p w:rsidR="00B132FB" w:rsidRDefault="00023916">
          <w:pPr>
            <w:pStyle w:val="TOC1"/>
            <w:tabs>
              <w:tab w:val="right" w:leader="dot" w:pos="9350"/>
            </w:tabs>
            <w:rPr>
              <w:rFonts w:asciiTheme="minorHAnsi" w:eastAsiaTheme="minorEastAsia" w:hAnsiTheme="minorHAnsi" w:cstheme="minorBidi"/>
              <w:noProof/>
              <w:sz w:val="22"/>
              <w:szCs w:val="22"/>
            </w:rPr>
          </w:pPr>
          <w:hyperlink w:anchor="_Toc532976025" w:history="1">
            <w:r w:rsidR="00B132FB" w:rsidRPr="00C97E0D">
              <w:rPr>
                <w:rStyle w:val="Hyperlink"/>
                <w:noProof/>
              </w:rPr>
              <w:t>Objective 1</w:t>
            </w:r>
            <w:r w:rsidR="00B132FB">
              <w:rPr>
                <w:noProof/>
                <w:webHidden/>
              </w:rPr>
              <w:tab/>
            </w:r>
            <w:r w:rsidR="00B132FB">
              <w:rPr>
                <w:noProof/>
                <w:webHidden/>
              </w:rPr>
              <w:fldChar w:fldCharType="begin"/>
            </w:r>
            <w:r w:rsidR="00B132FB">
              <w:rPr>
                <w:noProof/>
                <w:webHidden/>
              </w:rPr>
              <w:instrText xml:space="preserve"> PAGEREF _Toc532976025 \h </w:instrText>
            </w:r>
            <w:r w:rsidR="00B132FB">
              <w:rPr>
                <w:noProof/>
                <w:webHidden/>
              </w:rPr>
            </w:r>
            <w:r w:rsidR="00B132FB">
              <w:rPr>
                <w:noProof/>
                <w:webHidden/>
              </w:rPr>
              <w:fldChar w:fldCharType="separate"/>
            </w:r>
            <w:r w:rsidR="00B132FB">
              <w:rPr>
                <w:noProof/>
                <w:webHidden/>
              </w:rPr>
              <w:t>5</w:t>
            </w:r>
            <w:r w:rsidR="00B132FB">
              <w:rPr>
                <w:noProof/>
                <w:webHidden/>
              </w:rPr>
              <w:fldChar w:fldCharType="end"/>
            </w:r>
          </w:hyperlink>
        </w:p>
        <w:p w:rsidR="00B132FB" w:rsidRDefault="00023916">
          <w:pPr>
            <w:pStyle w:val="TOC1"/>
            <w:tabs>
              <w:tab w:val="right" w:leader="dot" w:pos="9350"/>
            </w:tabs>
            <w:rPr>
              <w:rFonts w:asciiTheme="minorHAnsi" w:eastAsiaTheme="minorEastAsia" w:hAnsiTheme="minorHAnsi" w:cstheme="minorBidi"/>
              <w:noProof/>
              <w:sz w:val="22"/>
              <w:szCs w:val="22"/>
            </w:rPr>
          </w:pPr>
          <w:hyperlink w:anchor="_Toc532976026" w:history="1">
            <w:r w:rsidR="00B132FB" w:rsidRPr="00C97E0D">
              <w:rPr>
                <w:rStyle w:val="Hyperlink"/>
                <w:noProof/>
              </w:rPr>
              <w:t>Objective 2</w:t>
            </w:r>
            <w:r w:rsidR="00B132FB">
              <w:rPr>
                <w:noProof/>
                <w:webHidden/>
              </w:rPr>
              <w:tab/>
            </w:r>
            <w:r w:rsidR="00B132FB">
              <w:rPr>
                <w:noProof/>
                <w:webHidden/>
              </w:rPr>
              <w:fldChar w:fldCharType="begin"/>
            </w:r>
            <w:r w:rsidR="00B132FB">
              <w:rPr>
                <w:noProof/>
                <w:webHidden/>
              </w:rPr>
              <w:instrText xml:space="preserve"> PAGEREF _Toc532976026 \h </w:instrText>
            </w:r>
            <w:r w:rsidR="00B132FB">
              <w:rPr>
                <w:noProof/>
                <w:webHidden/>
              </w:rPr>
            </w:r>
            <w:r w:rsidR="00B132FB">
              <w:rPr>
                <w:noProof/>
                <w:webHidden/>
              </w:rPr>
              <w:fldChar w:fldCharType="separate"/>
            </w:r>
            <w:r w:rsidR="00B132FB">
              <w:rPr>
                <w:noProof/>
                <w:webHidden/>
              </w:rPr>
              <w:t>6</w:t>
            </w:r>
            <w:r w:rsidR="00B132FB">
              <w:rPr>
                <w:noProof/>
                <w:webHidden/>
              </w:rPr>
              <w:fldChar w:fldCharType="end"/>
            </w:r>
          </w:hyperlink>
        </w:p>
        <w:p w:rsidR="00B132FB" w:rsidRDefault="00023916">
          <w:pPr>
            <w:pStyle w:val="TOC1"/>
            <w:tabs>
              <w:tab w:val="right" w:leader="dot" w:pos="9350"/>
            </w:tabs>
            <w:rPr>
              <w:rFonts w:asciiTheme="minorHAnsi" w:eastAsiaTheme="minorEastAsia" w:hAnsiTheme="minorHAnsi" w:cstheme="minorBidi"/>
              <w:noProof/>
              <w:sz w:val="22"/>
              <w:szCs w:val="22"/>
            </w:rPr>
          </w:pPr>
          <w:hyperlink w:anchor="_Toc532976027" w:history="1">
            <w:r w:rsidR="00B132FB" w:rsidRPr="00C97E0D">
              <w:rPr>
                <w:rStyle w:val="Hyperlink"/>
                <w:noProof/>
              </w:rPr>
              <w:t>Objective 3</w:t>
            </w:r>
            <w:r w:rsidR="00B132FB">
              <w:rPr>
                <w:noProof/>
                <w:webHidden/>
              </w:rPr>
              <w:tab/>
            </w:r>
            <w:r w:rsidR="00B132FB">
              <w:rPr>
                <w:noProof/>
                <w:webHidden/>
              </w:rPr>
              <w:fldChar w:fldCharType="begin"/>
            </w:r>
            <w:r w:rsidR="00B132FB">
              <w:rPr>
                <w:noProof/>
                <w:webHidden/>
              </w:rPr>
              <w:instrText xml:space="preserve"> PAGEREF _Toc532976027 \h </w:instrText>
            </w:r>
            <w:r w:rsidR="00B132FB">
              <w:rPr>
                <w:noProof/>
                <w:webHidden/>
              </w:rPr>
            </w:r>
            <w:r w:rsidR="00B132FB">
              <w:rPr>
                <w:noProof/>
                <w:webHidden/>
              </w:rPr>
              <w:fldChar w:fldCharType="separate"/>
            </w:r>
            <w:r w:rsidR="00B132FB">
              <w:rPr>
                <w:noProof/>
                <w:webHidden/>
              </w:rPr>
              <w:t>7</w:t>
            </w:r>
            <w:r w:rsidR="00B132FB">
              <w:rPr>
                <w:noProof/>
                <w:webHidden/>
              </w:rPr>
              <w:fldChar w:fldCharType="end"/>
            </w:r>
          </w:hyperlink>
        </w:p>
        <w:p w:rsidR="00B132FB" w:rsidRDefault="00023916">
          <w:pPr>
            <w:pStyle w:val="TOC1"/>
            <w:tabs>
              <w:tab w:val="right" w:leader="dot" w:pos="9350"/>
            </w:tabs>
            <w:rPr>
              <w:rFonts w:asciiTheme="minorHAnsi" w:eastAsiaTheme="minorEastAsia" w:hAnsiTheme="minorHAnsi" w:cstheme="minorBidi"/>
              <w:noProof/>
              <w:sz w:val="22"/>
              <w:szCs w:val="22"/>
            </w:rPr>
          </w:pPr>
          <w:hyperlink w:anchor="_Toc532976028" w:history="1">
            <w:r w:rsidR="00B132FB" w:rsidRPr="00C97E0D">
              <w:rPr>
                <w:rStyle w:val="Hyperlink"/>
                <w:noProof/>
              </w:rPr>
              <w:t>Additional Comments</w:t>
            </w:r>
            <w:r w:rsidR="00B132FB">
              <w:rPr>
                <w:noProof/>
                <w:webHidden/>
              </w:rPr>
              <w:tab/>
            </w:r>
            <w:r w:rsidR="00B132FB">
              <w:rPr>
                <w:noProof/>
                <w:webHidden/>
              </w:rPr>
              <w:fldChar w:fldCharType="begin"/>
            </w:r>
            <w:r w:rsidR="00B132FB">
              <w:rPr>
                <w:noProof/>
                <w:webHidden/>
              </w:rPr>
              <w:instrText xml:space="preserve"> PAGEREF _Toc532976028 \h </w:instrText>
            </w:r>
            <w:r w:rsidR="00B132FB">
              <w:rPr>
                <w:noProof/>
                <w:webHidden/>
              </w:rPr>
            </w:r>
            <w:r w:rsidR="00B132FB">
              <w:rPr>
                <w:noProof/>
                <w:webHidden/>
              </w:rPr>
              <w:fldChar w:fldCharType="separate"/>
            </w:r>
            <w:r w:rsidR="00B132FB">
              <w:rPr>
                <w:noProof/>
                <w:webHidden/>
              </w:rPr>
              <w:t>8</w:t>
            </w:r>
            <w:r w:rsidR="00B132FB">
              <w:rPr>
                <w:noProof/>
                <w:webHidden/>
              </w:rPr>
              <w:fldChar w:fldCharType="end"/>
            </w:r>
          </w:hyperlink>
        </w:p>
        <w:p w:rsidR="00B132FB" w:rsidRDefault="00023916">
          <w:pPr>
            <w:pStyle w:val="TOC1"/>
            <w:tabs>
              <w:tab w:val="right" w:leader="dot" w:pos="9350"/>
            </w:tabs>
            <w:rPr>
              <w:rFonts w:asciiTheme="minorHAnsi" w:eastAsiaTheme="minorEastAsia" w:hAnsiTheme="minorHAnsi" w:cstheme="minorBidi"/>
              <w:noProof/>
              <w:sz w:val="22"/>
              <w:szCs w:val="22"/>
            </w:rPr>
          </w:pPr>
          <w:hyperlink w:anchor="_Toc532976029" w:history="1">
            <w:r w:rsidR="00B132FB" w:rsidRPr="00C97E0D">
              <w:rPr>
                <w:rStyle w:val="Hyperlink"/>
                <w:noProof/>
              </w:rPr>
              <w:t>Appendix A: Exercise Schedule</w:t>
            </w:r>
            <w:r w:rsidR="00B132FB">
              <w:rPr>
                <w:noProof/>
                <w:webHidden/>
              </w:rPr>
              <w:tab/>
            </w:r>
            <w:r w:rsidR="00B132FB">
              <w:rPr>
                <w:noProof/>
                <w:webHidden/>
              </w:rPr>
              <w:fldChar w:fldCharType="begin"/>
            </w:r>
            <w:r w:rsidR="00B132FB">
              <w:rPr>
                <w:noProof/>
                <w:webHidden/>
              </w:rPr>
              <w:instrText xml:space="preserve"> PAGEREF _Toc532976029 \h </w:instrText>
            </w:r>
            <w:r w:rsidR="00B132FB">
              <w:rPr>
                <w:noProof/>
                <w:webHidden/>
              </w:rPr>
            </w:r>
            <w:r w:rsidR="00B132FB">
              <w:rPr>
                <w:noProof/>
                <w:webHidden/>
              </w:rPr>
              <w:fldChar w:fldCharType="separate"/>
            </w:r>
            <w:r w:rsidR="00B132FB">
              <w:rPr>
                <w:noProof/>
                <w:webHidden/>
              </w:rPr>
              <w:t>10</w:t>
            </w:r>
            <w:r w:rsidR="00B132FB">
              <w:rPr>
                <w:noProof/>
                <w:webHidden/>
              </w:rPr>
              <w:fldChar w:fldCharType="end"/>
            </w:r>
          </w:hyperlink>
        </w:p>
        <w:p w:rsidR="00B132FB" w:rsidRDefault="00023916">
          <w:pPr>
            <w:pStyle w:val="TOC1"/>
            <w:tabs>
              <w:tab w:val="right" w:leader="dot" w:pos="9350"/>
            </w:tabs>
            <w:rPr>
              <w:rFonts w:asciiTheme="minorHAnsi" w:eastAsiaTheme="minorEastAsia" w:hAnsiTheme="minorHAnsi" w:cstheme="minorBidi"/>
              <w:noProof/>
              <w:sz w:val="22"/>
              <w:szCs w:val="22"/>
            </w:rPr>
          </w:pPr>
          <w:hyperlink w:anchor="_Toc532976030" w:history="1">
            <w:r w:rsidR="00B132FB" w:rsidRPr="00C97E0D">
              <w:rPr>
                <w:rStyle w:val="Hyperlink"/>
                <w:noProof/>
              </w:rPr>
              <w:t>Appendix B: Exercise Participants</w:t>
            </w:r>
            <w:r w:rsidR="00B132FB">
              <w:rPr>
                <w:noProof/>
                <w:webHidden/>
              </w:rPr>
              <w:tab/>
            </w:r>
            <w:r w:rsidR="00B132FB">
              <w:rPr>
                <w:noProof/>
                <w:webHidden/>
              </w:rPr>
              <w:fldChar w:fldCharType="begin"/>
            </w:r>
            <w:r w:rsidR="00B132FB">
              <w:rPr>
                <w:noProof/>
                <w:webHidden/>
              </w:rPr>
              <w:instrText xml:space="preserve"> PAGEREF _Toc532976030 \h </w:instrText>
            </w:r>
            <w:r w:rsidR="00B132FB">
              <w:rPr>
                <w:noProof/>
                <w:webHidden/>
              </w:rPr>
            </w:r>
            <w:r w:rsidR="00B132FB">
              <w:rPr>
                <w:noProof/>
                <w:webHidden/>
              </w:rPr>
              <w:fldChar w:fldCharType="separate"/>
            </w:r>
            <w:r w:rsidR="00B132FB">
              <w:rPr>
                <w:noProof/>
                <w:webHidden/>
              </w:rPr>
              <w:t>10</w:t>
            </w:r>
            <w:r w:rsidR="00B132FB">
              <w:rPr>
                <w:noProof/>
                <w:webHidden/>
              </w:rPr>
              <w:fldChar w:fldCharType="end"/>
            </w:r>
          </w:hyperlink>
        </w:p>
        <w:p w:rsidR="00B132FB" w:rsidRDefault="00023916">
          <w:pPr>
            <w:pStyle w:val="TOC1"/>
            <w:tabs>
              <w:tab w:val="right" w:leader="dot" w:pos="9350"/>
            </w:tabs>
            <w:rPr>
              <w:rFonts w:asciiTheme="minorHAnsi" w:eastAsiaTheme="minorEastAsia" w:hAnsiTheme="minorHAnsi" w:cstheme="minorBidi"/>
              <w:noProof/>
              <w:sz w:val="22"/>
              <w:szCs w:val="22"/>
            </w:rPr>
          </w:pPr>
          <w:hyperlink w:anchor="_Toc532976031" w:history="1">
            <w:r w:rsidR="00B132FB" w:rsidRPr="00C97E0D">
              <w:rPr>
                <w:rStyle w:val="Hyperlink"/>
                <w:noProof/>
              </w:rPr>
              <w:t>Appendix C: Improvement Plan</w:t>
            </w:r>
            <w:r w:rsidR="00B132FB">
              <w:rPr>
                <w:noProof/>
                <w:webHidden/>
              </w:rPr>
              <w:tab/>
            </w:r>
            <w:r w:rsidR="00B132FB">
              <w:rPr>
                <w:noProof/>
                <w:webHidden/>
              </w:rPr>
              <w:fldChar w:fldCharType="begin"/>
            </w:r>
            <w:r w:rsidR="00B132FB">
              <w:rPr>
                <w:noProof/>
                <w:webHidden/>
              </w:rPr>
              <w:instrText xml:space="preserve"> PAGEREF _Toc532976031 \h </w:instrText>
            </w:r>
            <w:r w:rsidR="00B132FB">
              <w:rPr>
                <w:noProof/>
                <w:webHidden/>
              </w:rPr>
            </w:r>
            <w:r w:rsidR="00B132FB">
              <w:rPr>
                <w:noProof/>
                <w:webHidden/>
              </w:rPr>
              <w:fldChar w:fldCharType="separate"/>
            </w:r>
            <w:r w:rsidR="00B132FB">
              <w:rPr>
                <w:noProof/>
                <w:webHidden/>
              </w:rPr>
              <w:t>11</w:t>
            </w:r>
            <w:r w:rsidR="00B132FB">
              <w:rPr>
                <w:noProof/>
                <w:webHidden/>
              </w:rPr>
              <w:fldChar w:fldCharType="end"/>
            </w:r>
          </w:hyperlink>
        </w:p>
        <w:p w:rsidR="00B17137" w:rsidRDefault="001F6A7B" w:rsidP="00DC714E">
          <w:pPr>
            <w:spacing w:after="0"/>
          </w:pPr>
          <w:r>
            <w:rPr>
              <w:bCs/>
              <w:noProof/>
            </w:rPr>
            <w:fldChar w:fldCharType="end"/>
          </w:r>
        </w:p>
      </w:sdtContent>
    </w:sdt>
    <w:p w:rsidR="00501706" w:rsidRDefault="00501706" w:rsidP="00501706">
      <w:pPr>
        <w:pStyle w:val="NoSpacing"/>
        <w:rPr>
          <w:rFonts w:eastAsia="Arial"/>
        </w:rPr>
      </w:pPr>
    </w:p>
    <w:p w:rsidR="008E5A4D" w:rsidRDefault="008E5A4D" w:rsidP="00501706">
      <w:pPr>
        <w:pStyle w:val="NoSpacing"/>
        <w:rPr>
          <w:rFonts w:eastAsia="Arial"/>
        </w:rPr>
      </w:pPr>
    </w:p>
    <w:p w:rsidR="008E5A4D" w:rsidRDefault="008E5A4D" w:rsidP="00501706">
      <w:pPr>
        <w:pStyle w:val="NoSpacing"/>
        <w:rPr>
          <w:rFonts w:eastAsia="Arial"/>
        </w:rPr>
      </w:pPr>
    </w:p>
    <w:p w:rsidR="008E5A4D" w:rsidRDefault="008E5A4D" w:rsidP="00501706">
      <w:pPr>
        <w:pStyle w:val="NoSpacing"/>
        <w:rPr>
          <w:rFonts w:eastAsia="Arial"/>
        </w:rPr>
      </w:pPr>
    </w:p>
    <w:p w:rsidR="00063612" w:rsidRDefault="00063612" w:rsidP="00501706">
      <w:pPr>
        <w:pStyle w:val="NoSpacing"/>
        <w:rPr>
          <w:rFonts w:eastAsia="Arial"/>
        </w:rPr>
      </w:pPr>
    </w:p>
    <w:p w:rsidR="00063612" w:rsidRDefault="00063612" w:rsidP="00501706">
      <w:pPr>
        <w:pStyle w:val="NoSpacing"/>
        <w:rPr>
          <w:rFonts w:eastAsia="Arial"/>
        </w:rPr>
      </w:pPr>
    </w:p>
    <w:p w:rsidR="008E5A4D" w:rsidRDefault="008E5A4D" w:rsidP="00501706">
      <w:pPr>
        <w:pStyle w:val="NoSpacing"/>
        <w:rPr>
          <w:rFonts w:eastAsia="Arial"/>
        </w:rPr>
      </w:pPr>
    </w:p>
    <w:p w:rsidR="008E5A4D" w:rsidRDefault="008E5A4D" w:rsidP="00501706">
      <w:pPr>
        <w:pStyle w:val="NoSpacing"/>
        <w:rPr>
          <w:rFonts w:eastAsia="Arial"/>
        </w:rPr>
      </w:pPr>
    </w:p>
    <w:p w:rsidR="008E5A4D" w:rsidRDefault="008E5A4D" w:rsidP="00501706">
      <w:pPr>
        <w:pStyle w:val="NoSpacing"/>
        <w:rPr>
          <w:rFonts w:eastAsia="Arial"/>
        </w:rPr>
      </w:pPr>
    </w:p>
    <w:p w:rsidR="008E5A4D" w:rsidRDefault="008E5A4D" w:rsidP="00501706">
      <w:pPr>
        <w:pStyle w:val="NoSpacing"/>
        <w:rPr>
          <w:rFonts w:eastAsia="Arial"/>
        </w:rPr>
      </w:pPr>
    </w:p>
    <w:p w:rsidR="008E5A4D" w:rsidRDefault="008E5A4D" w:rsidP="00501706">
      <w:pPr>
        <w:pStyle w:val="NoSpacing"/>
        <w:rPr>
          <w:rFonts w:eastAsia="Arial"/>
        </w:rPr>
      </w:pPr>
    </w:p>
    <w:p w:rsidR="008E5A4D" w:rsidRDefault="008E5A4D" w:rsidP="00501706">
      <w:pPr>
        <w:pStyle w:val="NoSpacing"/>
        <w:rPr>
          <w:rFonts w:eastAsia="Arial"/>
        </w:rPr>
      </w:pPr>
    </w:p>
    <w:p w:rsidR="008E5A4D" w:rsidRDefault="008E5A4D" w:rsidP="00501706">
      <w:pPr>
        <w:pStyle w:val="NoSpacing"/>
        <w:rPr>
          <w:rFonts w:eastAsia="Arial"/>
        </w:rPr>
      </w:pPr>
    </w:p>
    <w:p w:rsidR="008E5A4D" w:rsidRDefault="008E5A4D" w:rsidP="00501706">
      <w:pPr>
        <w:pStyle w:val="NoSpacing"/>
        <w:rPr>
          <w:rFonts w:eastAsia="Arial"/>
        </w:rPr>
      </w:pPr>
    </w:p>
    <w:p w:rsidR="008E5A4D" w:rsidRDefault="008E5A4D" w:rsidP="00501706">
      <w:pPr>
        <w:pStyle w:val="NoSpacing"/>
        <w:rPr>
          <w:rFonts w:eastAsia="Arial"/>
        </w:rPr>
      </w:pPr>
    </w:p>
    <w:p w:rsidR="008E5A4D" w:rsidRDefault="008E5A4D" w:rsidP="00501706">
      <w:pPr>
        <w:pStyle w:val="NoSpacing"/>
        <w:rPr>
          <w:rFonts w:eastAsia="Arial"/>
        </w:rPr>
      </w:pPr>
    </w:p>
    <w:p w:rsidR="008E5A4D" w:rsidRDefault="008E5A4D" w:rsidP="00501706">
      <w:pPr>
        <w:pStyle w:val="NoSpacing"/>
        <w:rPr>
          <w:rFonts w:eastAsia="Arial"/>
        </w:rPr>
      </w:pPr>
    </w:p>
    <w:p w:rsidR="008E5A4D" w:rsidRDefault="008E5A4D" w:rsidP="00501706">
      <w:pPr>
        <w:pStyle w:val="NoSpacing"/>
        <w:rPr>
          <w:rFonts w:eastAsia="Arial"/>
        </w:rPr>
      </w:pPr>
    </w:p>
    <w:p w:rsidR="008E5A4D" w:rsidRDefault="008E5A4D" w:rsidP="00501706">
      <w:pPr>
        <w:pStyle w:val="NoSpacing"/>
        <w:rPr>
          <w:rFonts w:eastAsia="Arial"/>
        </w:rPr>
      </w:pPr>
    </w:p>
    <w:p w:rsidR="008E5A4D" w:rsidRDefault="008E5A4D" w:rsidP="00501706">
      <w:pPr>
        <w:pStyle w:val="NoSpacing"/>
        <w:rPr>
          <w:rFonts w:eastAsia="Arial"/>
        </w:rPr>
      </w:pPr>
    </w:p>
    <w:p w:rsidR="008E5A4D" w:rsidRDefault="008E5A4D" w:rsidP="00501706">
      <w:pPr>
        <w:pStyle w:val="NoSpacing"/>
        <w:rPr>
          <w:rFonts w:eastAsia="Arial"/>
        </w:rPr>
      </w:pPr>
    </w:p>
    <w:p w:rsidR="008E5A4D" w:rsidRDefault="008E5A4D" w:rsidP="00501706">
      <w:pPr>
        <w:pStyle w:val="NoSpacing"/>
        <w:rPr>
          <w:rFonts w:eastAsia="Arial"/>
        </w:rPr>
      </w:pPr>
    </w:p>
    <w:p w:rsidR="008E5A4D" w:rsidRDefault="008E5A4D" w:rsidP="00501706">
      <w:pPr>
        <w:pStyle w:val="NoSpacing"/>
        <w:rPr>
          <w:rFonts w:eastAsia="Arial"/>
        </w:rPr>
      </w:pPr>
    </w:p>
    <w:p w:rsidR="008E5A4D" w:rsidRDefault="008E5A4D" w:rsidP="00501706">
      <w:pPr>
        <w:pStyle w:val="NoSpacing"/>
        <w:rPr>
          <w:rFonts w:eastAsia="Arial"/>
        </w:rPr>
      </w:pPr>
    </w:p>
    <w:p w:rsidR="008E5A4D" w:rsidRDefault="008E5A4D" w:rsidP="00501706">
      <w:pPr>
        <w:pStyle w:val="NoSpacing"/>
        <w:rPr>
          <w:rFonts w:eastAsia="Arial"/>
        </w:rPr>
      </w:pPr>
    </w:p>
    <w:p w:rsidR="000677B2" w:rsidRDefault="000677B2" w:rsidP="00501706">
      <w:pPr>
        <w:pStyle w:val="NoSpacing"/>
        <w:rPr>
          <w:rFonts w:eastAsia="Arial"/>
        </w:rPr>
      </w:pPr>
    </w:p>
    <w:p w:rsidR="003638AE" w:rsidRPr="007B2093" w:rsidRDefault="00E33622" w:rsidP="00873DD0">
      <w:pPr>
        <w:pStyle w:val="Heading1"/>
        <w:ind w:left="0" w:firstLine="0"/>
        <w:rPr>
          <w:rFonts w:eastAsia="Arial"/>
        </w:rPr>
      </w:pPr>
      <w:bookmarkStart w:id="1" w:name="_Toc532976021"/>
      <w:r w:rsidRPr="007B2093">
        <w:rPr>
          <w:rFonts w:eastAsia="Arial"/>
        </w:rPr>
        <w:lastRenderedPageBreak/>
        <w:t>Exercise Overview</w:t>
      </w:r>
      <w:bookmarkEnd w:id="1"/>
    </w:p>
    <w:tbl>
      <w:tblPr>
        <w:tblStyle w:val="a"/>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908"/>
        <w:gridCol w:w="7668"/>
      </w:tblGrid>
      <w:tr w:rsidR="003638AE" w:rsidRPr="007B2093" w:rsidTr="00AA7BC6">
        <w:trPr>
          <w:trHeight w:val="420"/>
          <w:jc w:val="center"/>
        </w:trPr>
        <w:tc>
          <w:tcPr>
            <w:tcW w:w="1908" w:type="dxa"/>
            <w:tcBorders>
              <w:left w:val="nil"/>
              <w:bottom w:val="single" w:sz="4" w:space="0" w:color="auto"/>
            </w:tcBorders>
            <w:shd w:val="clear" w:color="auto" w:fill="auto"/>
            <w:vAlign w:val="center"/>
          </w:tcPr>
          <w:p w:rsidR="003638AE" w:rsidRPr="007B2093" w:rsidRDefault="00E33622" w:rsidP="00AA7BC6">
            <w:pPr>
              <w:rPr>
                <w:b/>
                <w:sz w:val="22"/>
                <w:szCs w:val="24"/>
              </w:rPr>
            </w:pPr>
            <w:r w:rsidRPr="007B2093">
              <w:rPr>
                <w:b/>
                <w:sz w:val="22"/>
                <w:szCs w:val="24"/>
              </w:rPr>
              <w:t>Exercise Name</w:t>
            </w:r>
          </w:p>
        </w:tc>
        <w:tc>
          <w:tcPr>
            <w:tcW w:w="7668" w:type="dxa"/>
            <w:tcBorders>
              <w:bottom w:val="single" w:sz="4" w:space="0" w:color="auto"/>
              <w:right w:val="nil"/>
            </w:tcBorders>
            <w:shd w:val="clear" w:color="auto" w:fill="auto"/>
            <w:vAlign w:val="center"/>
          </w:tcPr>
          <w:p w:rsidR="003638AE" w:rsidRPr="00391942" w:rsidRDefault="00391942" w:rsidP="00391942">
            <w:pPr>
              <w:rPr>
                <w:i/>
                <w:sz w:val="22"/>
                <w:szCs w:val="24"/>
              </w:rPr>
            </w:pPr>
            <w:proofErr w:type="spellStart"/>
            <w:r>
              <w:rPr>
                <w:i/>
                <w:sz w:val="22"/>
                <w:szCs w:val="24"/>
              </w:rPr>
              <w:t>OpsCenter</w:t>
            </w:r>
            <w:proofErr w:type="spellEnd"/>
            <w:r>
              <w:rPr>
                <w:i/>
                <w:sz w:val="22"/>
                <w:szCs w:val="24"/>
              </w:rPr>
              <w:t xml:space="preserve"> November 2018</w:t>
            </w:r>
          </w:p>
        </w:tc>
      </w:tr>
      <w:tr w:rsidR="003638AE" w:rsidRPr="007B2093" w:rsidTr="00AA7BC6">
        <w:trPr>
          <w:trHeight w:val="420"/>
          <w:jc w:val="center"/>
        </w:trPr>
        <w:tc>
          <w:tcPr>
            <w:tcW w:w="1908" w:type="dxa"/>
            <w:tcBorders>
              <w:left w:val="nil"/>
              <w:bottom w:val="single" w:sz="4" w:space="0" w:color="auto"/>
            </w:tcBorders>
            <w:shd w:val="clear" w:color="auto" w:fill="auto"/>
            <w:vAlign w:val="center"/>
          </w:tcPr>
          <w:p w:rsidR="003638AE" w:rsidRPr="007B2093" w:rsidRDefault="00E33622" w:rsidP="00AA7BC6">
            <w:pPr>
              <w:rPr>
                <w:b/>
                <w:sz w:val="22"/>
                <w:szCs w:val="24"/>
              </w:rPr>
            </w:pPr>
            <w:r w:rsidRPr="007B2093">
              <w:rPr>
                <w:b/>
                <w:sz w:val="22"/>
                <w:szCs w:val="24"/>
              </w:rPr>
              <w:t>Exercise Dates</w:t>
            </w:r>
          </w:p>
        </w:tc>
        <w:tc>
          <w:tcPr>
            <w:tcW w:w="7668" w:type="dxa"/>
            <w:tcBorders>
              <w:bottom w:val="single" w:sz="4" w:space="0" w:color="auto"/>
              <w:right w:val="nil"/>
            </w:tcBorders>
            <w:shd w:val="clear" w:color="auto" w:fill="auto"/>
            <w:vAlign w:val="center"/>
          </w:tcPr>
          <w:p w:rsidR="003638AE" w:rsidRPr="007B2093" w:rsidRDefault="00391942" w:rsidP="00C142AF">
            <w:pPr>
              <w:rPr>
                <w:sz w:val="22"/>
                <w:szCs w:val="24"/>
              </w:rPr>
            </w:pPr>
            <w:r>
              <w:rPr>
                <w:sz w:val="22"/>
                <w:szCs w:val="24"/>
              </w:rPr>
              <w:t>November 8</w:t>
            </w:r>
            <w:r w:rsidRPr="00391942">
              <w:rPr>
                <w:sz w:val="22"/>
                <w:szCs w:val="24"/>
                <w:vertAlign w:val="superscript"/>
              </w:rPr>
              <w:t>th</w:t>
            </w:r>
            <w:r>
              <w:rPr>
                <w:sz w:val="22"/>
                <w:szCs w:val="24"/>
              </w:rPr>
              <w:t xml:space="preserve">, </w:t>
            </w:r>
            <w:r w:rsidR="00BB0D17" w:rsidRPr="007B2093">
              <w:rPr>
                <w:sz w:val="22"/>
                <w:szCs w:val="24"/>
              </w:rPr>
              <w:t>2018</w:t>
            </w:r>
          </w:p>
        </w:tc>
      </w:tr>
      <w:tr w:rsidR="0056478D" w:rsidRPr="007B2093" w:rsidTr="00AA7BC6">
        <w:trPr>
          <w:trHeight w:val="420"/>
          <w:jc w:val="center"/>
        </w:trPr>
        <w:tc>
          <w:tcPr>
            <w:tcW w:w="1908" w:type="dxa"/>
            <w:tcBorders>
              <w:left w:val="nil"/>
              <w:bottom w:val="single" w:sz="4" w:space="0" w:color="auto"/>
            </w:tcBorders>
            <w:shd w:val="clear" w:color="auto" w:fill="auto"/>
            <w:vAlign w:val="center"/>
          </w:tcPr>
          <w:p w:rsidR="0056478D" w:rsidRPr="007B2093" w:rsidRDefault="0056478D" w:rsidP="00AA7BC6">
            <w:pPr>
              <w:rPr>
                <w:b/>
                <w:sz w:val="22"/>
              </w:rPr>
            </w:pPr>
            <w:r>
              <w:rPr>
                <w:b/>
                <w:sz w:val="22"/>
              </w:rPr>
              <w:t>Exercise Location</w:t>
            </w:r>
          </w:p>
        </w:tc>
        <w:tc>
          <w:tcPr>
            <w:tcW w:w="7668" w:type="dxa"/>
            <w:tcBorders>
              <w:bottom w:val="single" w:sz="4" w:space="0" w:color="auto"/>
              <w:right w:val="nil"/>
            </w:tcBorders>
            <w:shd w:val="clear" w:color="auto" w:fill="auto"/>
            <w:vAlign w:val="center"/>
          </w:tcPr>
          <w:p w:rsidR="0056478D" w:rsidRDefault="00391942" w:rsidP="00C142AF">
            <w:pPr>
              <w:rPr>
                <w:sz w:val="22"/>
              </w:rPr>
            </w:pPr>
            <w:r>
              <w:rPr>
                <w:sz w:val="22"/>
              </w:rPr>
              <w:t>Donald E. Long Juvenile Justice Center</w:t>
            </w:r>
          </w:p>
          <w:p w:rsidR="00391942" w:rsidRPr="007B2093" w:rsidRDefault="00391942" w:rsidP="00C142AF">
            <w:pPr>
              <w:rPr>
                <w:sz w:val="22"/>
              </w:rPr>
            </w:pPr>
            <w:r>
              <w:rPr>
                <w:sz w:val="22"/>
              </w:rPr>
              <w:t>4800 NE 68</w:t>
            </w:r>
            <w:r w:rsidRPr="00391942">
              <w:rPr>
                <w:sz w:val="22"/>
                <w:vertAlign w:val="superscript"/>
              </w:rPr>
              <w:t>th</w:t>
            </w:r>
            <w:r>
              <w:rPr>
                <w:sz w:val="22"/>
              </w:rPr>
              <w:t xml:space="preserve"> Avenue, Portland, Oregon 97213</w:t>
            </w:r>
          </w:p>
        </w:tc>
      </w:tr>
      <w:tr w:rsidR="003638AE" w:rsidRPr="007B2093" w:rsidTr="00AA7BC6">
        <w:trPr>
          <w:trHeight w:val="420"/>
          <w:jc w:val="center"/>
        </w:trPr>
        <w:tc>
          <w:tcPr>
            <w:tcW w:w="1908" w:type="dxa"/>
            <w:tcBorders>
              <w:left w:val="nil"/>
              <w:bottom w:val="single" w:sz="4" w:space="0" w:color="auto"/>
            </w:tcBorders>
            <w:shd w:val="clear" w:color="auto" w:fill="auto"/>
            <w:vAlign w:val="center"/>
          </w:tcPr>
          <w:p w:rsidR="003638AE" w:rsidRPr="007B2093" w:rsidRDefault="00E33622" w:rsidP="00AA7BC6">
            <w:pPr>
              <w:rPr>
                <w:b/>
                <w:sz w:val="22"/>
                <w:szCs w:val="24"/>
              </w:rPr>
            </w:pPr>
            <w:r w:rsidRPr="007B2093">
              <w:rPr>
                <w:b/>
                <w:sz w:val="22"/>
                <w:szCs w:val="24"/>
              </w:rPr>
              <w:t>Scope</w:t>
            </w:r>
          </w:p>
        </w:tc>
        <w:tc>
          <w:tcPr>
            <w:tcW w:w="7668" w:type="dxa"/>
            <w:tcBorders>
              <w:bottom w:val="single" w:sz="4" w:space="0" w:color="auto"/>
              <w:right w:val="nil"/>
            </w:tcBorders>
            <w:shd w:val="clear" w:color="auto" w:fill="auto"/>
            <w:vAlign w:val="center"/>
          </w:tcPr>
          <w:p w:rsidR="003638AE" w:rsidRPr="007B2093" w:rsidRDefault="00391942" w:rsidP="00C142AF">
            <w:pPr>
              <w:rPr>
                <w:sz w:val="22"/>
                <w:szCs w:val="24"/>
              </w:rPr>
            </w:pPr>
            <w:r>
              <w:rPr>
                <w:sz w:val="22"/>
                <w:szCs w:val="24"/>
              </w:rPr>
              <w:t>Severe Winter Weather</w:t>
            </w:r>
          </w:p>
        </w:tc>
      </w:tr>
      <w:tr w:rsidR="003638AE" w:rsidRPr="007B2093" w:rsidTr="00AA7BC6">
        <w:trPr>
          <w:trHeight w:val="420"/>
          <w:jc w:val="center"/>
        </w:trPr>
        <w:tc>
          <w:tcPr>
            <w:tcW w:w="1908" w:type="dxa"/>
            <w:tcBorders>
              <w:left w:val="nil"/>
              <w:bottom w:val="single" w:sz="4" w:space="0" w:color="auto"/>
            </w:tcBorders>
            <w:shd w:val="clear" w:color="auto" w:fill="auto"/>
            <w:vAlign w:val="center"/>
          </w:tcPr>
          <w:p w:rsidR="003638AE" w:rsidRPr="007B2093" w:rsidRDefault="00E33622" w:rsidP="00AA7BC6">
            <w:pPr>
              <w:rPr>
                <w:b/>
                <w:sz w:val="22"/>
                <w:szCs w:val="24"/>
              </w:rPr>
            </w:pPr>
            <w:r w:rsidRPr="007B2093">
              <w:rPr>
                <w:b/>
                <w:sz w:val="22"/>
                <w:szCs w:val="24"/>
              </w:rPr>
              <w:t>Mission Area(s)</w:t>
            </w:r>
          </w:p>
        </w:tc>
        <w:tc>
          <w:tcPr>
            <w:tcW w:w="7668" w:type="dxa"/>
            <w:tcBorders>
              <w:bottom w:val="single" w:sz="4" w:space="0" w:color="auto"/>
              <w:right w:val="nil"/>
            </w:tcBorders>
            <w:shd w:val="clear" w:color="auto" w:fill="auto"/>
            <w:vAlign w:val="center"/>
          </w:tcPr>
          <w:p w:rsidR="003638AE" w:rsidRPr="007B2093" w:rsidRDefault="004A1E72" w:rsidP="00C142AF">
            <w:pPr>
              <w:rPr>
                <w:sz w:val="22"/>
                <w:szCs w:val="24"/>
              </w:rPr>
            </w:pPr>
            <w:r w:rsidRPr="007B2093">
              <w:rPr>
                <w:sz w:val="22"/>
                <w:szCs w:val="24"/>
              </w:rPr>
              <w:t>Response</w:t>
            </w:r>
          </w:p>
        </w:tc>
      </w:tr>
      <w:tr w:rsidR="003638AE" w:rsidRPr="007B2093" w:rsidTr="00391942">
        <w:trPr>
          <w:trHeight w:val="720"/>
          <w:jc w:val="center"/>
        </w:trPr>
        <w:tc>
          <w:tcPr>
            <w:tcW w:w="1908" w:type="dxa"/>
            <w:tcBorders>
              <w:left w:val="nil"/>
              <w:bottom w:val="single" w:sz="4" w:space="0" w:color="auto"/>
            </w:tcBorders>
            <w:shd w:val="clear" w:color="auto" w:fill="auto"/>
            <w:vAlign w:val="center"/>
          </w:tcPr>
          <w:p w:rsidR="003638AE" w:rsidRPr="007B2093" w:rsidRDefault="00E33622" w:rsidP="00AA7BC6">
            <w:pPr>
              <w:rPr>
                <w:b/>
                <w:sz w:val="22"/>
                <w:szCs w:val="24"/>
              </w:rPr>
            </w:pPr>
            <w:r w:rsidRPr="007B2093">
              <w:rPr>
                <w:b/>
                <w:sz w:val="22"/>
                <w:szCs w:val="24"/>
              </w:rPr>
              <w:t>Core Capabilities</w:t>
            </w:r>
          </w:p>
        </w:tc>
        <w:tc>
          <w:tcPr>
            <w:tcW w:w="7668" w:type="dxa"/>
            <w:tcBorders>
              <w:bottom w:val="single" w:sz="4" w:space="0" w:color="auto"/>
              <w:right w:val="nil"/>
            </w:tcBorders>
            <w:shd w:val="clear" w:color="auto" w:fill="auto"/>
            <w:vAlign w:val="center"/>
          </w:tcPr>
          <w:p w:rsidR="003638AE" w:rsidRPr="007B2093" w:rsidRDefault="00BB0D17" w:rsidP="009A0B3C">
            <w:pPr>
              <w:pStyle w:val="ListParagraph"/>
              <w:numPr>
                <w:ilvl w:val="0"/>
                <w:numId w:val="6"/>
              </w:numPr>
              <w:spacing w:after="60"/>
              <w:contextualSpacing w:val="0"/>
              <w:rPr>
                <w:sz w:val="22"/>
                <w:szCs w:val="24"/>
              </w:rPr>
            </w:pPr>
            <w:r w:rsidRPr="007B2093">
              <w:rPr>
                <w:sz w:val="22"/>
                <w:szCs w:val="24"/>
              </w:rPr>
              <w:t xml:space="preserve">Operational Coordination </w:t>
            </w:r>
          </w:p>
          <w:p w:rsidR="00C850FE" w:rsidRPr="00391942" w:rsidRDefault="00C850FE" w:rsidP="00391942">
            <w:pPr>
              <w:pStyle w:val="ListParagraph"/>
              <w:numPr>
                <w:ilvl w:val="0"/>
                <w:numId w:val="6"/>
              </w:numPr>
              <w:spacing w:after="60"/>
              <w:contextualSpacing w:val="0"/>
              <w:rPr>
                <w:sz w:val="22"/>
                <w:szCs w:val="24"/>
              </w:rPr>
            </w:pPr>
            <w:r>
              <w:rPr>
                <w:sz w:val="22"/>
                <w:szCs w:val="24"/>
              </w:rPr>
              <w:t>Logistics &amp; Supply Chain Management</w:t>
            </w:r>
          </w:p>
        </w:tc>
      </w:tr>
      <w:tr w:rsidR="003638AE" w:rsidRPr="007B2093" w:rsidTr="00AA7BC6">
        <w:trPr>
          <w:trHeight w:val="420"/>
          <w:jc w:val="center"/>
        </w:trPr>
        <w:tc>
          <w:tcPr>
            <w:tcW w:w="1908" w:type="dxa"/>
            <w:tcBorders>
              <w:left w:val="nil"/>
              <w:bottom w:val="single" w:sz="4" w:space="0" w:color="auto"/>
            </w:tcBorders>
            <w:shd w:val="clear" w:color="auto" w:fill="auto"/>
            <w:vAlign w:val="center"/>
          </w:tcPr>
          <w:p w:rsidR="003638AE" w:rsidRPr="007B2093" w:rsidRDefault="00E33622" w:rsidP="00AA7BC6">
            <w:pPr>
              <w:rPr>
                <w:b/>
                <w:sz w:val="22"/>
                <w:szCs w:val="24"/>
              </w:rPr>
            </w:pPr>
            <w:r w:rsidRPr="007B2093">
              <w:rPr>
                <w:b/>
                <w:sz w:val="22"/>
                <w:szCs w:val="24"/>
              </w:rPr>
              <w:t>Objectives</w:t>
            </w:r>
          </w:p>
        </w:tc>
        <w:tc>
          <w:tcPr>
            <w:tcW w:w="7668" w:type="dxa"/>
            <w:tcBorders>
              <w:bottom w:val="single" w:sz="4" w:space="0" w:color="auto"/>
              <w:right w:val="nil"/>
            </w:tcBorders>
            <w:shd w:val="clear" w:color="auto" w:fill="auto"/>
            <w:vAlign w:val="center"/>
          </w:tcPr>
          <w:p w:rsidR="003638AE" w:rsidRPr="00214DA8" w:rsidRDefault="00214DA8" w:rsidP="00214DA8">
            <w:pPr>
              <w:rPr>
                <w:sz w:val="22"/>
              </w:rPr>
            </w:pPr>
            <w:r w:rsidRPr="00214DA8">
              <w:rPr>
                <w:sz w:val="22"/>
              </w:rPr>
              <w:t>See page 2</w:t>
            </w:r>
            <w:r>
              <w:rPr>
                <w:sz w:val="22"/>
              </w:rPr>
              <w:t xml:space="preserve"> </w:t>
            </w:r>
            <w:r>
              <w:rPr>
                <w:i/>
                <w:sz w:val="22"/>
              </w:rPr>
              <w:t>Exercise Objectives and Core Capabilities</w:t>
            </w:r>
            <w:r>
              <w:rPr>
                <w:sz w:val="22"/>
              </w:rPr>
              <w:t xml:space="preserve"> for a list</w:t>
            </w:r>
          </w:p>
        </w:tc>
      </w:tr>
      <w:tr w:rsidR="003638AE" w:rsidRPr="007B2093" w:rsidTr="00DC714E">
        <w:trPr>
          <w:trHeight w:val="5328"/>
          <w:jc w:val="center"/>
        </w:trPr>
        <w:tc>
          <w:tcPr>
            <w:tcW w:w="1908" w:type="dxa"/>
            <w:tcBorders>
              <w:left w:val="nil"/>
              <w:bottom w:val="single" w:sz="4" w:space="0" w:color="auto"/>
            </w:tcBorders>
            <w:shd w:val="clear" w:color="auto" w:fill="auto"/>
            <w:vAlign w:val="center"/>
          </w:tcPr>
          <w:p w:rsidR="003638AE" w:rsidRPr="007B2093" w:rsidRDefault="00E33622" w:rsidP="00AA7BC6">
            <w:pPr>
              <w:rPr>
                <w:b/>
                <w:sz w:val="22"/>
                <w:szCs w:val="24"/>
              </w:rPr>
            </w:pPr>
            <w:r w:rsidRPr="007B2093">
              <w:rPr>
                <w:b/>
                <w:sz w:val="22"/>
                <w:szCs w:val="24"/>
              </w:rPr>
              <w:t>Scenario</w:t>
            </w:r>
          </w:p>
        </w:tc>
        <w:tc>
          <w:tcPr>
            <w:tcW w:w="7668" w:type="dxa"/>
            <w:tcBorders>
              <w:bottom w:val="single" w:sz="4" w:space="0" w:color="auto"/>
              <w:right w:val="nil"/>
            </w:tcBorders>
            <w:shd w:val="clear" w:color="auto" w:fill="auto"/>
            <w:vAlign w:val="center"/>
          </w:tcPr>
          <w:p w:rsidR="00391942" w:rsidRPr="00DC714E" w:rsidRDefault="00391942" w:rsidP="00391942">
            <w:pPr>
              <w:spacing w:after="120"/>
              <w:rPr>
                <w:sz w:val="22"/>
                <w:szCs w:val="24"/>
              </w:rPr>
            </w:pPr>
            <w:r w:rsidRPr="00DC714E">
              <w:rPr>
                <w:sz w:val="22"/>
                <w:szCs w:val="24"/>
              </w:rPr>
              <w:t>The coldest air of the winter season will be settling in over southwest Washington and northwest Oregon later this week, bringing very cold temperatures to the region and snow levels possibly near the valley floor.</w:t>
            </w:r>
          </w:p>
          <w:p w:rsidR="00391942" w:rsidRPr="00DC714E" w:rsidRDefault="00391942" w:rsidP="00391942">
            <w:pPr>
              <w:spacing w:after="120"/>
              <w:rPr>
                <w:sz w:val="22"/>
                <w:szCs w:val="24"/>
              </w:rPr>
            </w:pPr>
            <w:r w:rsidRPr="00DC714E">
              <w:rPr>
                <w:sz w:val="22"/>
                <w:szCs w:val="24"/>
              </w:rPr>
              <w:t xml:space="preserve">The initial surge of cold air will spread into southwest Washington and northwest Oregon Tuesday (Nov 6) as a strong cold front moves through. While air ahead of this front will be relatively mild...very cold air behind this front has the potential to drop snow levels quite low, likely to the valley floor.  </w:t>
            </w:r>
          </w:p>
          <w:p w:rsidR="00391942" w:rsidRPr="00DC714E" w:rsidRDefault="00391942" w:rsidP="00391942">
            <w:pPr>
              <w:spacing w:after="120"/>
              <w:rPr>
                <w:sz w:val="22"/>
                <w:szCs w:val="24"/>
              </w:rPr>
            </w:pPr>
            <w:r w:rsidRPr="00DC714E">
              <w:rPr>
                <w:sz w:val="22"/>
                <w:szCs w:val="24"/>
              </w:rPr>
              <w:t xml:space="preserve">It appears a reinforcing shot of arctic air will then spread through the Gorge and into northwest Oregon and southwest Washington Wednesday (Nov 7) and bring the coldest air to the region in quite some time. At that point...minimum temperatures could fall into the teens with daytime temperatures struggling to reach freezing. </w:t>
            </w:r>
          </w:p>
          <w:p w:rsidR="003638AE" w:rsidRPr="007B2093" w:rsidRDefault="00391942" w:rsidP="00DC714E">
            <w:pPr>
              <w:rPr>
                <w:sz w:val="22"/>
                <w:szCs w:val="24"/>
              </w:rPr>
            </w:pPr>
            <w:r w:rsidRPr="00DC714E">
              <w:rPr>
                <w:sz w:val="22"/>
                <w:szCs w:val="24"/>
              </w:rPr>
              <w:t>A strong weather disturbance will move into the region from the Pacific early Wednesday morning (Nov 7). Any precipitation that falls from this weather system will be snow right down to the valley floor. As the cold air over the area erodes, the precipitation will likely turn to freezing rain late Wednesday night through Thursday. This event could be similar to the snow and ice event that occurred in early January of 2006 which dropped several inches of snow and ice in the Willamette Valley. There are widespread power outages throughout the state due to heavy icing on trees and power lines.</w:t>
            </w:r>
          </w:p>
        </w:tc>
      </w:tr>
      <w:tr w:rsidR="003638AE" w:rsidRPr="007B2093" w:rsidTr="000677B2">
        <w:trPr>
          <w:trHeight w:val="720"/>
          <w:jc w:val="center"/>
        </w:trPr>
        <w:tc>
          <w:tcPr>
            <w:tcW w:w="1908" w:type="dxa"/>
            <w:tcBorders>
              <w:left w:val="nil"/>
              <w:bottom w:val="single" w:sz="4" w:space="0" w:color="000000"/>
            </w:tcBorders>
            <w:shd w:val="clear" w:color="auto" w:fill="auto"/>
            <w:vAlign w:val="center"/>
          </w:tcPr>
          <w:p w:rsidR="003638AE" w:rsidRPr="007B2093" w:rsidRDefault="00E33622" w:rsidP="00AA7BC6">
            <w:pPr>
              <w:rPr>
                <w:b/>
                <w:sz w:val="22"/>
                <w:szCs w:val="24"/>
              </w:rPr>
            </w:pPr>
            <w:r w:rsidRPr="007B2093">
              <w:rPr>
                <w:b/>
                <w:sz w:val="22"/>
                <w:szCs w:val="24"/>
              </w:rPr>
              <w:t>Participating Organizations</w:t>
            </w:r>
          </w:p>
        </w:tc>
        <w:tc>
          <w:tcPr>
            <w:tcW w:w="7668" w:type="dxa"/>
            <w:tcBorders>
              <w:bottom w:val="single" w:sz="4" w:space="0" w:color="000000"/>
              <w:right w:val="nil"/>
            </w:tcBorders>
            <w:shd w:val="clear" w:color="auto" w:fill="auto"/>
            <w:vAlign w:val="center"/>
          </w:tcPr>
          <w:p w:rsidR="004A1E72" w:rsidRPr="002519D4" w:rsidRDefault="002519D4" w:rsidP="00C142AF">
            <w:pPr>
              <w:rPr>
                <w:b/>
                <w:sz w:val="22"/>
              </w:rPr>
            </w:pPr>
            <w:r>
              <w:rPr>
                <w:sz w:val="22"/>
              </w:rPr>
              <w:t xml:space="preserve">See </w:t>
            </w:r>
            <w:r w:rsidR="000677B2">
              <w:rPr>
                <w:b/>
                <w:sz w:val="22"/>
              </w:rPr>
              <w:t>Appendix A:</w:t>
            </w:r>
            <w:r>
              <w:rPr>
                <w:b/>
                <w:sz w:val="22"/>
              </w:rPr>
              <w:t xml:space="preserve"> Exercise Participants</w:t>
            </w:r>
          </w:p>
        </w:tc>
      </w:tr>
      <w:tr w:rsidR="003638AE" w:rsidRPr="007B2093" w:rsidTr="000677B2">
        <w:trPr>
          <w:trHeight w:val="1440"/>
          <w:jc w:val="center"/>
        </w:trPr>
        <w:tc>
          <w:tcPr>
            <w:tcW w:w="1908" w:type="dxa"/>
            <w:tcBorders>
              <w:top w:val="single" w:sz="4" w:space="0" w:color="000000"/>
              <w:left w:val="nil"/>
            </w:tcBorders>
            <w:shd w:val="clear" w:color="auto" w:fill="auto"/>
            <w:vAlign w:val="center"/>
          </w:tcPr>
          <w:p w:rsidR="003638AE" w:rsidRPr="007B2093" w:rsidRDefault="00E33622" w:rsidP="00AA7BC6">
            <w:pPr>
              <w:rPr>
                <w:b/>
                <w:sz w:val="22"/>
                <w:szCs w:val="24"/>
              </w:rPr>
            </w:pPr>
            <w:r w:rsidRPr="007B2093">
              <w:rPr>
                <w:b/>
                <w:sz w:val="22"/>
                <w:szCs w:val="24"/>
              </w:rPr>
              <w:t>Point of Contact</w:t>
            </w:r>
          </w:p>
        </w:tc>
        <w:tc>
          <w:tcPr>
            <w:tcW w:w="7668" w:type="dxa"/>
            <w:tcBorders>
              <w:top w:val="single" w:sz="4" w:space="0" w:color="000000"/>
              <w:right w:val="nil"/>
            </w:tcBorders>
            <w:vAlign w:val="center"/>
          </w:tcPr>
          <w:p w:rsidR="003638AE" w:rsidRPr="00707299" w:rsidRDefault="00E33622" w:rsidP="00C142AF">
            <w:pPr>
              <w:rPr>
                <w:i/>
                <w:sz w:val="22"/>
                <w:szCs w:val="24"/>
              </w:rPr>
            </w:pPr>
            <w:r w:rsidRPr="00707299">
              <w:rPr>
                <w:i/>
                <w:sz w:val="22"/>
                <w:szCs w:val="24"/>
              </w:rPr>
              <w:t>Robert Quinn</w:t>
            </w:r>
          </w:p>
          <w:p w:rsidR="003638AE" w:rsidRPr="007B2093" w:rsidRDefault="00E33622" w:rsidP="00C142AF">
            <w:pPr>
              <w:rPr>
                <w:sz w:val="22"/>
                <w:szCs w:val="24"/>
              </w:rPr>
            </w:pPr>
            <w:r w:rsidRPr="007B2093">
              <w:rPr>
                <w:sz w:val="22"/>
                <w:szCs w:val="24"/>
              </w:rPr>
              <w:t>Training &amp; Exercise Coordinator</w:t>
            </w:r>
          </w:p>
          <w:p w:rsidR="003638AE" w:rsidRPr="007B2093" w:rsidRDefault="00E33622" w:rsidP="00C142AF">
            <w:pPr>
              <w:rPr>
                <w:sz w:val="22"/>
                <w:szCs w:val="24"/>
              </w:rPr>
            </w:pPr>
            <w:r w:rsidRPr="007B2093">
              <w:rPr>
                <w:sz w:val="22"/>
                <w:szCs w:val="24"/>
              </w:rPr>
              <w:t>Multnomah County</w:t>
            </w:r>
            <w:r w:rsidR="00DC404B">
              <w:rPr>
                <w:sz w:val="22"/>
                <w:szCs w:val="24"/>
              </w:rPr>
              <w:t xml:space="preserve"> Office of</w:t>
            </w:r>
            <w:r w:rsidRPr="007B2093">
              <w:rPr>
                <w:sz w:val="22"/>
                <w:szCs w:val="24"/>
              </w:rPr>
              <w:t xml:space="preserve"> Emergency </w:t>
            </w:r>
            <w:r w:rsidR="00DC404B">
              <w:rPr>
                <w:sz w:val="22"/>
                <w:szCs w:val="24"/>
              </w:rPr>
              <w:t>Management</w:t>
            </w:r>
          </w:p>
          <w:p w:rsidR="003638AE" w:rsidRPr="007B2093" w:rsidRDefault="00E33622" w:rsidP="00C142AF">
            <w:pPr>
              <w:rPr>
                <w:sz w:val="22"/>
                <w:szCs w:val="24"/>
              </w:rPr>
            </w:pPr>
            <w:r w:rsidRPr="007B2093">
              <w:rPr>
                <w:sz w:val="22"/>
                <w:szCs w:val="24"/>
              </w:rPr>
              <w:t xml:space="preserve">(503) </w:t>
            </w:r>
            <w:r w:rsidR="009405BB">
              <w:rPr>
                <w:sz w:val="22"/>
                <w:szCs w:val="24"/>
              </w:rPr>
              <w:t>307-4129</w:t>
            </w:r>
          </w:p>
          <w:p w:rsidR="003638AE" w:rsidRPr="007B2093" w:rsidRDefault="00023916" w:rsidP="00C142AF">
            <w:pPr>
              <w:rPr>
                <w:sz w:val="22"/>
                <w:szCs w:val="24"/>
              </w:rPr>
            </w:pPr>
            <w:hyperlink r:id="rId9">
              <w:r w:rsidR="00E33622" w:rsidRPr="007B2093">
                <w:rPr>
                  <w:color w:val="0000FF"/>
                  <w:sz w:val="22"/>
                  <w:szCs w:val="24"/>
                  <w:u w:val="single"/>
                </w:rPr>
                <w:t>robert.quinn@multco.us</w:t>
              </w:r>
            </w:hyperlink>
          </w:p>
        </w:tc>
      </w:tr>
    </w:tbl>
    <w:p w:rsidR="00EA1A18" w:rsidRDefault="00EA1A18" w:rsidP="00EA1A18">
      <w:pPr>
        <w:pStyle w:val="NoSpacing"/>
      </w:pPr>
      <w:bookmarkStart w:id="2" w:name="_gjdgxs" w:colFirst="0" w:colLast="0"/>
      <w:bookmarkEnd w:id="2"/>
    </w:p>
    <w:p w:rsidR="00EA1A18" w:rsidRDefault="00EA1A18" w:rsidP="00EA1A18">
      <w:pPr>
        <w:pStyle w:val="NoSpacing"/>
      </w:pPr>
    </w:p>
    <w:p w:rsidR="00EA1A18" w:rsidRDefault="00EA1A18" w:rsidP="00EA1A18">
      <w:pPr>
        <w:pStyle w:val="NoSpacing"/>
      </w:pPr>
    </w:p>
    <w:p w:rsidR="00EA1A18" w:rsidRDefault="00EA1A18" w:rsidP="00EA1A18">
      <w:pPr>
        <w:pStyle w:val="NoSpacing"/>
      </w:pPr>
    </w:p>
    <w:p w:rsidR="00EA1A18" w:rsidRDefault="00EA1A18" w:rsidP="00EA1A18">
      <w:pPr>
        <w:pStyle w:val="NoSpacing"/>
      </w:pPr>
    </w:p>
    <w:p w:rsidR="00EA1A18" w:rsidRDefault="00E33622" w:rsidP="00EA1A18">
      <w:pPr>
        <w:pStyle w:val="Heading1"/>
      </w:pPr>
      <w:bookmarkStart w:id="3" w:name="_Toc532976022"/>
      <w:r w:rsidRPr="009C0F86">
        <w:lastRenderedPageBreak/>
        <w:t>Exercise Objectives and Core Capabilities</w:t>
      </w:r>
      <w:bookmarkEnd w:id="3"/>
    </w:p>
    <w:p w:rsidR="003638AE" w:rsidRDefault="00E33622" w:rsidP="009C0F86">
      <w:pPr>
        <w:rPr>
          <w:color w:val="000000"/>
        </w:rPr>
      </w:pPr>
      <w:r w:rsidRPr="007B2093">
        <w:rPr>
          <w:color w:val="000000"/>
        </w:rPr>
        <w:t xml:space="preserve">The following exercise objectives in </w:t>
      </w:r>
      <w:r w:rsidRPr="009C0F86">
        <w:rPr>
          <w:i/>
          <w:color w:val="000000"/>
        </w:rPr>
        <w:t>Table 1</w:t>
      </w:r>
      <w:r w:rsidRPr="007B2093">
        <w:rPr>
          <w:color w:val="000000"/>
        </w:rPr>
        <w:t xml:space="preserve"> describe the expected</w:t>
      </w:r>
      <w:r w:rsidR="009C0F86">
        <w:rPr>
          <w:color w:val="000000"/>
        </w:rPr>
        <w:t xml:space="preserve"> exercise</w:t>
      </w:r>
      <w:r w:rsidRPr="007B2093">
        <w:rPr>
          <w:color w:val="000000"/>
        </w:rPr>
        <w:t xml:space="preserve"> outcomes</w:t>
      </w:r>
      <w:r w:rsidR="009C0F86">
        <w:rPr>
          <w:color w:val="000000"/>
        </w:rPr>
        <w:t>. O</w:t>
      </w:r>
      <w:r w:rsidRPr="007B2093">
        <w:rPr>
          <w:color w:val="000000"/>
        </w:rPr>
        <w:t xml:space="preserve">bjectives are linked to core capabilities, which are distinct critical </w:t>
      </w:r>
      <w:r w:rsidR="009C0F86">
        <w:rPr>
          <w:color w:val="000000"/>
        </w:rPr>
        <w:t xml:space="preserve">elements necessary to achieve </w:t>
      </w:r>
      <w:r w:rsidRPr="007B2093">
        <w:rPr>
          <w:color w:val="000000"/>
        </w:rPr>
        <w:t xml:space="preserve">specific mission area(s). The objectives and aligned core capabilities are guided by </w:t>
      </w:r>
      <w:r w:rsidR="002C2C51">
        <w:rPr>
          <w:color w:val="000000"/>
        </w:rPr>
        <w:t>organi</w:t>
      </w:r>
      <w:r w:rsidR="009C0F86">
        <w:rPr>
          <w:color w:val="000000"/>
        </w:rPr>
        <w:t>zation priorities and previous exercise lessons learned.</w:t>
      </w:r>
    </w:p>
    <w:p w:rsidR="004159DE" w:rsidRPr="00752EC8" w:rsidRDefault="00752EC8" w:rsidP="009C0F86">
      <w:pPr>
        <w:rPr>
          <w:i/>
          <w:color w:val="000000"/>
        </w:rPr>
      </w:pPr>
      <w:r>
        <w:rPr>
          <w:i/>
          <w:color w:val="000000"/>
        </w:rPr>
        <w:t>Note: Bolded Core Capabilities are identified in the Multnomah County Emergency Management Training &amp; Exercise Plan.</w:t>
      </w:r>
    </w:p>
    <w:tbl>
      <w:tblPr>
        <w:tblStyle w:val="TableGrid"/>
        <w:tblW w:w="0" w:type="auto"/>
        <w:tblLook w:val="04A0" w:firstRow="1" w:lastRow="0" w:firstColumn="1" w:lastColumn="0" w:noHBand="0" w:noVBand="1"/>
      </w:tblPr>
      <w:tblGrid>
        <w:gridCol w:w="3905"/>
        <w:gridCol w:w="3028"/>
        <w:gridCol w:w="2427"/>
      </w:tblGrid>
      <w:tr w:rsidR="00582282" w:rsidTr="00582282">
        <w:trPr>
          <w:trHeight w:val="432"/>
        </w:trPr>
        <w:tc>
          <w:tcPr>
            <w:tcW w:w="3905" w:type="dxa"/>
            <w:tcBorders>
              <w:left w:val="nil"/>
              <w:bottom w:val="single" w:sz="4" w:space="0" w:color="auto"/>
            </w:tcBorders>
            <w:shd w:val="clear" w:color="auto" w:fill="D9D9D9" w:themeFill="background1" w:themeFillShade="D9"/>
            <w:vAlign w:val="center"/>
          </w:tcPr>
          <w:p w:rsidR="00582282" w:rsidRPr="005A023E" w:rsidRDefault="00582282" w:rsidP="007D7FCF">
            <w:pPr>
              <w:jc w:val="center"/>
              <w:rPr>
                <w:i/>
                <w:color w:val="000000"/>
              </w:rPr>
            </w:pPr>
            <w:r w:rsidRPr="005A023E">
              <w:rPr>
                <w:i/>
                <w:color w:val="000000"/>
              </w:rPr>
              <w:t>Exercise Objectives</w:t>
            </w:r>
          </w:p>
        </w:tc>
        <w:tc>
          <w:tcPr>
            <w:tcW w:w="3028" w:type="dxa"/>
            <w:tcBorders>
              <w:bottom w:val="single" w:sz="4" w:space="0" w:color="auto"/>
              <w:right w:val="nil"/>
            </w:tcBorders>
            <w:shd w:val="clear" w:color="auto" w:fill="D9D9D9" w:themeFill="background1" w:themeFillShade="D9"/>
            <w:vAlign w:val="center"/>
          </w:tcPr>
          <w:p w:rsidR="00582282" w:rsidRPr="005A023E" w:rsidRDefault="00582282" w:rsidP="007D7FCF">
            <w:pPr>
              <w:jc w:val="center"/>
              <w:rPr>
                <w:i/>
                <w:color w:val="000000"/>
              </w:rPr>
            </w:pPr>
            <w:r w:rsidRPr="005A023E">
              <w:rPr>
                <w:i/>
                <w:color w:val="000000"/>
              </w:rPr>
              <w:t>Core Capability</w:t>
            </w:r>
          </w:p>
        </w:tc>
        <w:tc>
          <w:tcPr>
            <w:tcW w:w="2427" w:type="dxa"/>
            <w:tcBorders>
              <w:bottom w:val="single" w:sz="4" w:space="0" w:color="auto"/>
              <w:right w:val="nil"/>
            </w:tcBorders>
            <w:shd w:val="clear" w:color="auto" w:fill="D9D9D9" w:themeFill="background1" w:themeFillShade="D9"/>
            <w:vAlign w:val="center"/>
          </w:tcPr>
          <w:p w:rsidR="00582282" w:rsidRPr="005A023E" w:rsidRDefault="00FB0C3D" w:rsidP="00582282">
            <w:pPr>
              <w:jc w:val="center"/>
              <w:rPr>
                <w:i/>
                <w:color w:val="000000"/>
              </w:rPr>
            </w:pPr>
            <w:r>
              <w:rPr>
                <w:i/>
                <w:color w:val="000000"/>
              </w:rPr>
              <w:t>Rating</w:t>
            </w:r>
          </w:p>
        </w:tc>
      </w:tr>
      <w:tr w:rsidR="00582282" w:rsidTr="00B132FB">
        <w:trPr>
          <w:trHeight w:val="1872"/>
        </w:trPr>
        <w:tc>
          <w:tcPr>
            <w:tcW w:w="3905" w:type="dxa"/>
            <w:tcBorders>
              <w:left w:val="nil"/>
              <w:bottom w:val="single" w:sz="4" w:space="0" w:color="auto"/>
            </w:tcBorders>
            <w:vAlign w:val="center"/>
          </w:tcPr>
          <w:p w:rsidR="00582282" w:rsidRPr="00391942" w:rsidRDefault="00582282" w:rsidP="00391942">
            <w:pPr>
              <w:pStyle w:val="ListParagraph"/>
              <w:numPr>
                <w:ilvl w:val="0"/>
                <w:numId w:val="25"/>
              </w:numPr>
              <w:contextualSpacing w:val="0"/>
              <w:rPr>
                <w:color w:val="000000"/>
              </w:rPr>
            </w:pPr>
            <w:r>
              <w:rPr>
                <w:color w:val="000000"/>
              </w:rPr>
              <w:t>Complete the process of submitting a resource request to the Oregon Office of Emergency Management to align with the County Resource Request Form</w:t>
            </w:r>
          </w:p>
        </w:tc>
        <w:tc>
          <w:tcPr>
            <w:tcW w:w="3028" w:type="dxa"/>
            <w:tcBorders>
              <w:bottom w:val="single" w:sz="4" w:space="0" w:color="auto"/>
              <w:right w:val="nil"/>
            </w:tcBorders>
            <w:vAlign w:val="center"/>
          </w:tcPr>
          <w:p w:rsidR="00582282" w:rsidRPr="00391942" w:rsidRDefault="00582282" w:rsidP="008E5A4D">
            <w:pPr>
              <w:rPr>
                <w:i/>
                <w:color w:val="000000"/>
              </w:rPr>
            </w:pPr>
            <w:r>
              <w:rPr>
                <w:b/>
                <w:i/>
                <w:color w:val="000000"/>
              </w:rPr>
              <w:t>Operational Coordination</w:t>
            </w:r>
            <w:r>
              <w:rPr>
                <w:i/>
                <w:color w:val="000000"/>
              </w:rPr>
              <w:t>, Logistics &amp; Supply Chain Management</w:t>
            </w:r>
          </w:p>
        </w:tc>
        <w:tc>
          <w:tcPr>
            <w:tcW w:w="2427" w:type="dxa"/>
            <w:tcBorders>
              <w:bottom w:val="single" w:sz="4" w:space="0" w:color="auto"/>
              <w:right w:val="nil"/>
            </w:tcBorders>
            <w:vAlign w:val="center"/>
          </w:tcPr>
          <w:p w:rsidR="00582282" w:rsidRPr="00582282" w:rsidRDefault="00582282" w:rsidP="00582282">
            <w:pPr>
              <w:rPr>
                <w:i/>
                <w:color w:val="000000"/>
              </w:rPr>
            </w:pPr>
            <w:r w:rsidRPr="00582282">
              <w:rPr>
                <w:i/>
                <w:color w:val="000000"/>
              </w:rPr>
              <w:t>S</w:t>
            </w:r>
            <w:r>
              <w:rPr>
                <w:i/>
                <w:color w:val="000000"/>
              </w:rPr>
              <w:t xml:space="preserve"> – Performed with Some Challenges</w:t>
            </w:r>
          </w:p>
        </w:tc>
      </w:tr>
      <w:tr w:rsidR="00582282" w:rsidTr="00B132FB">
        <w:trPr>
          <w:trHeight w:val="1584"/>
        </w:trPr>
        <w:tc>
          <w:tcPr>
            <w:tcW w:w="3905" w:type="dxa"/>
            <w:tcBorders>
              <w:left w:val="nil"/>
            </w:tcBorders>
            <w:vAlign w:val="center"/>
          </w:tcPr>
          <w:p w:rsidR="00582282" w:rsidRPr="007D7FCF" w:rsidRDefault="00582282" w:rsidP="005345B5">
            <w:pPr>
              <w:pStyle w:val="ListParagraph"/>
              <w:numPr>
                <w:ilvl w:val="0"/>
                <w:numId w:val="25"/>
              </w:numPr>
              <w:contextualSpacing w:val="0"/>
              <w:rPr>
                <w:color w:val="000000"/>
              </w:rPr>
            </w:pPr>
            <w:r>
              <w:rPr>
                <w:color w:val="000000"/>
              </w:rPr>
              <w:t>Identify the logistical responsibilities of resources requested through the County Emergency Operations Center (EOC).</w:t>
            </w:r>
          </w:p>
        </w:tc>
        <w:tc>
          <w:tcPr>
            <w:tcW w:w="3028" w:type="dxa"/>
            <w:tcBorders>
              <w:right w:val="nil"/>
            </w:tcBorders>
            <w:vAlign w:val="center"/>
          </w:tcPr>
          <w:p w:rsidR="00582282" w:rsidRPr="007D7FCF" w:rsidRDefault="00582282" w:rsidP="008E5A4D">
            <w:pPr>
              <w:rPr>
                <w:b/>
                <w:i/>
                <w:color w:val="000000"/>
              </w:rPr>
            </w:pPr>
            <w:r>
              <w:rPr>
                <w:b/>
                <w:i/>
                <w:color w:val="000000"/>
              </w:rPr>
              <w:t>Operational Coordination</w:t>
            </w:r>
            <w:r>
              <w:rPr>
                <w:i/>
                <w:color w:val="000000"/>
              </w:rPr>
              <w:t>, Logistics &amp; Supply Chain Management</w:t>
            </w:r>
          </w:p>
        </w:tc>
        <w:tc>
          <w:tcPr>
            <w:tcW w:w="2427" w:type="dxa"/>
            <w:tcBorders>
              <w:right w:val="nil"/>
            </w:tcBorders>
            <w:vAlign w:val="center"/>
          </w:tcPr>
          <w:p w:rsidR="00582282" w:rsidRPr="00582282" w:rsidRDefault="00582282" w:rsidP="00582282">
            <w:pPr>
              <w:rPr>
                <w:i/>
                <w:color w:val="000000"/>
              </w:rPr>
            </w:pPr>
            <w:r w:rsidRPr="00582282">
              <w:rPr>
                <w:i/>
                <w:color w:val="000000"/>
              </w:rPr>
              <w:t xml:space="preserve">S – Performed with Some Challenges </w:t>
            </w:r>
          </w:p>
        </w:tc>
      </w:tr>
      <w:tr w:rsidR="00582282" w:rsidTr="00B132FB">
        <w:trPr>
          <w:trHeight w:val="1584"/>
        </w:trPr>
        <w:tc>
          <w:tcPr>
            <w:tcW w:w="3905" w:type="dxa"/>
            <w:tcBorders>
              <w:left w:val="nil"/>
              <w:bottom w:val="single" w:sz="4" w:space="0" w:color="auto"/>
            </w:tcBorders>
            <w:vAlign w:val="center"/>
          </w:tcPr>
          <w:p w:rsidR="00582282" w:rsidRDefault="00582282" w:rsidP="005345B5">
            <w:pPr>
              <w:pStyle w:val="ListParagraph"/>
              <w:numPr>
                <w:ilvl w:val="0"/>
                <w:numId w:val="25"/>
              </w:numPr>
              <w:contextualSpacing w:val="0"/>
              <w:rPr>
                <w:color w:val="000000"/>
              </w:rPr>
            </w:pPr>
            <w:r>
              <w:rPr>
                <w:color w:val="000000"/>
              </w:rPr>
              <w:t>Identify the financial responsibilities of resources requested through the County Emergency Operations Center (EOC).</w:t>
            </w:r>
          </w:p>
        </w:tc>
        <w:tc>
          <w:tcPr>
            <w:tcW w:w="3028" w:type="dxa"/>
            <w:tcBorders>
              <w:bottom w:val="single" w:sz="4" w:space="0" w:color="auto"/>
              <w:right w:val="nil"/>
            </w:tcBorders>
            <w:vAlign w:val="center"/>
          </w:tcPr>
          <w:p w:rsidR="00582282" w:rsidRDefault="00582282" w:rsidP="008E5A4D">
            <w:pPr>
              <w:rPr>
                <w:b/>
                <w:i/>
                <w:color w:val="000000"/>
              </w:rPr>
            </w:pPr>
            <w:r w:rsidRPr="005345B5">
              <w:rPr>
                <w:b/>
                <w:i/>
                <w:color w:val="000000"/>
              </w:rPr>
              <w:t xml:space="preserve">Operational Coordination, </w:t>
            </w:r>
            <w:r w:rsidRPr="005345B5">
              <w:rPr>
                <w:i/>
                <w:color w:val="000000"/>
              </w:rPr>
              <w:t>Logistics &amp; Supply Chain Management</w:t>
            </w:r>
          </w:p>
        </w:tc>
        <w:tc>
          <w:tcPr>
            <w:tcW w:w="2427" w:type="dxa"/>
            <w:tcBorders>
              <w:bottom w:val="single" w:sz="4" w:space="0" w:color="auto"/>
              <w:right w:val="nil"/>
            </w:tcBorders>
            <w:vAlign w:val="center"/>
          </w:tcPr>
          <w:p w:rsidR="00582282" w:rsidRPr="00582282" w:rsidRDefault="00582282" w:rsidP="00582282">
            <w:pPr>
              <w:rPr>
                <w:i/>
                <w:color w:val="000000"/>
              </w:rPr>
            </w:pPr>
            <w:r w:rsidRPr="00582282">
              <w:rPr>
                <w:i/>
                <w:color w:val="000000"/>
              </w:rPr>
              <w:t xml:space="preserve">P – Performed without Challenges </w:t>
            </w:r>
          </w:p>
        </w:tc>
      </w:tr>
    </w:tbl>
    <w:p w:rsidR="003638AE" w:rsidRDefault="00E33622" w:rsidP="007B2093">
      <w:pPr>
        <w:spacing w:before="120"/>
        <w:jc w:val="center"/>
        <w:rPr>
          <w:b/>
          <w:i/>
          <w:sz w:val="22"/>
          <w:szCs w:val="22"/>
        </w:rPr>
      </w:pPr>
      <w:bookmarkStart w:id="4" w:name="_30j0zll" w:colFirst="0" w:colLast="0"/>
      <w:bookmarkEnd w:id="4"/>
      <w:r w:rsidRPr="00211B2D">
        <w:rPr>
          <w:b/>
          <w:i/>
          <w:sz w:val="22"/>
          <w:szCs w:val="22"/>
        </w:rPr>
        <w:t>Table 1. Exercise Objectives and Associated Core Capabilities</w:t>
      </w:r>
    </w:p>
    <w:p w:rsidR="00851DF3" w:rsidRDefault="00851DF3" w:rsidP="00851DF3">
      <w:pPr>
        <w:pStyle w:val="Heading1"/>
      </w:pPr>
      <w:bookmarkStart w:id="5" w:name="_Toc532976023"/>
      <w:r>
        <w:t>Exercise Background</w:t>
      </w:r>
      <w:r w:rsidR="00812B23">
        <w:t xml:space="preserve"> &amp; Summary</w:t>
      </w:r>
      <w:bookmarkEnd w:id="5"/>
    </w:p>
    <w:p w:rsidR="00812B23" w:rsidRPr="00812B23" w:rsidRDefault="00851DF3" w:rsidP="00812B23">
      <w:r>
        <w:t>This exerc</w:t>
      </w:r>
      <w:r w:rsidR="00391942">
        <w:t xml:space="preserve">ise was developed parallel to an Oregon </w:t>
      </w:r>
      <w:r w:rsidR="002C2C51">
        <w:t xml:space="preserve">Office of </w:t>
      </w:r>
      <w:r w:rsidR="00391942">
        <w:t>Emerg</w:t>
      </w:r>
      <w:r w:rsidR="002C2C51">
        <w:t>ency Management’s (OEM)</w:t>
      </w:r>
      <w:r w:rsidR="00391942">
        <w:t xml:space="preserve"> Quarterly drill of their </w:t>
      </w:r>
      <w:proofErr w:type="spellStart"/>
      <w:r w:rsidR="00391942">
        <w:rPr>
          <w:i/>
        </w:rPr>
        <w:t>OpsCenter</w:t>
      </w:r>
      <w:proofErr w:type="spellEnd"/>
      <w:r w:rsidR="00391942">
        <w:rPr>
          <w:i/>
        </w:rPr>
        <w:t xml:space="preserve"> </w:t>
      </w:r>
      <w:r w:rsidR="00391942">
        <w:t>system.</w:t>
      </w:r>
      <w:r w:rsidR="00471939">
        <w:t xml:space="preserve"> This</w:t>
      </w:r>
      <w:r w:rsidR="002C2C51">
        <w:t xml:space="preserve"> exercise was</w:t>
      </w:r>
      <w:r w:rsidR="000677B2">
        <w:t xml:space="preserve"> identified in the Multnomah County Office of Emergency Management (MCEM) </w:t>
      </w:r>
      <w:r w:rsidR="000677B2">
        <w:rPr>
          <w:i/>
        </w:rPr>
        <w:t>Training &amp; Exercise Plan</w:t>
      </w:r>
      <w:r w:rsidR="000677B2">
        <w:t xml:space="preserve"> for</w:t>
      </w:r>
      <w:r w:rsidR="00812B23">
        <w:t xml:space="preserve"> Fiscal Year 2019. The MCEM anticipates regular involvement in future quarterly </w:t>
      </w:r>
      <w:proofErr w:type="spellStart"/>
      <w:r w:rsidR="00812B23">
        <w:rPr>
          <w:i/>
        </w:rPr>
        <w:t>OpsCenter</w:t>
      </w:r>
      <w:proofErr w:type="spellEnd"/>
      <w:r w:rsidR="002C2C51">
        <w:t xml:space="preserve"> drills to test County resource request processes.</w:t>
      </w:r>
    </w:p>
    <w:p w:rsidR="00471939" w:rsidRDefault="00812B23" w:rsidP="00851DF3">
      <w:r>
        <w:t>For this quarter’s participation, the MC</w:t>
      </w:r>
      <w:r w:rsidR="002C2C51">
        <w:t>EM held a two component</w:t>
      </w:r>
      <w:r>
        <w:t xml:space="preserve"> exercise.</w:t>
      </w:r>
      <w:r w:rsidR="002C2C51">
        <w:t xml:space="preserve"> The first component was a</w:t>
      </w:r>
      <w:r>
        <w:t xml:space="preserve"> drill to test the recently updated County </w:t>
      </w:r>
      <w:r>
        <w:rPr>
          <w:i/>
        </w:rPr>
        <w:t>Resource Request Form</w:t>
      </w:r>
      <w:r>
        <w:t xml:space="preserve"> and the process of transferring information from that form, to the OEM </w:t>
      </w:r>
      <w:proofErr w:type="spellStart"/>
      <w:r>
        <w:rPr>
          <w:i/>
        </w:rPr>
        <w:t>OpsCenter</w:t>
      </w:r>
      <w:proofErr w:type="spellEnd"/>
      <w:r>
        <w:rPr>
          <w:i/>
        </w:rPr>
        <w:t xml:space="preserve"> </w:t>
      </w:r>
      <w:r w:rsidR="002C2C51">
        <w:t>system</w:t>
      </w:r>
      <w:r w:rsidR="00471939">
        <w:t xml:space="preserve"> when local resources do not meet the request needs</w:t>
      </w:r>
      <w:r w:rsidR="002C2C51">
        <w:t xml:space="preserve">. </w:t>
      </w:r>
    </w:p>
    <w:p w:rsidR="00812B23" w:rsidRDefault="002C2C51" w:rsidP="00851DF3">
      <w:r>
        <w:t>The second component</w:t>
      </w:r>
      <w:r w:rsidR="00812B23">
        <w:t xml:space="preserve"> </w:t>
      </w:r>
      <w:r>
        <w:t>was a tabletop exercise</w:t>
      </w:r>
      <w:r w:rsidR="00812B23">
        <w:t xml:space="preserve"> with c</w:t>
      </w:r>
      <w:r>
        <w:t>ounty-wide partners to address two</w:t>
      </w:r>
      <w:r w:rsidR="00812B23">
        <w:t xml:space="preserve"> common issue</w:t>
      </w:r>
      <w:r>
        <w:t>s</w:t>
      </w:r>
      <w:r w:rsidR="00812B23">
        <w:t xml:space="preserve"> identified in past response operations: the logistical and financial responsibilities of</w:t>
      </w:r>
      <w:r>
        <w:t xml:space="preserve"> resources requested through the County Emergency Operations Center (EOC)</w:t>
      </w:r>
      <w:r w:rsidR="00812B23">
        <w:t>.</w:t>
      </w:r>
    </w:p>
    <w:p w:rsidR="00812B23" w:rsidRDefault="00BA0ABF" w:rsidP="00851DF3">
      <w:r>
        <w:lastRenderedPageBreak/>
        <w:t>The MCEM invited community partners</w:t>
      </w:r>
      <w:r w:rsidR="00471939">
        <w:t xml:space="preserve"> who are expected to</w:t>
      </w:r>
      <w:r w:rsidR="00812B23">
        <w:t xml:space="preserve"> request resources through the County Emergency Operations Center (EOC)</w:t>
      </w:r>
      <w:r w:rsidR="00471939">
        <w:t xml:space="preserve"> to actively participate</w:t>
      </w:r>
      <w:r>
        <w:t xml:space="preserve">. </w:t>
      </w:r>
      <w:r w:rsidR="00471939">
        <w:t>Not only was this time used to clarify the expected process, but this exercise offered</w:t>
      </w:r>
      <w:r w:rsidR="00C70F2A">
        <w:t xml:space="preserve"> all</w:t>
      </w:r>
      <w:r w:rsidR="00471939">
        <w:t xml:space="preserve"> partners an oppor</w:t>
      </w:r>
      <w:r>
        <w:t>tunity to</w:t>
      </w:r>
      <w:r w:rsidR="00812B23">
        <w:t xml:space="preserve"> gain</w:t>
      </w:r>
      <w:r w:rsidR="00DC714E">
        <w:t xml:space="preserve"> </w:t>
      </w:r>
      <w:r w:rsidR="00C70F2A">
        <w:t xml:space="preserve">awareness of this process, and the agreed-upon decision. This tabletop saw </w:t>
      </w:r>
      <w:r w:rsidR="00DC714E">
        <w:t xml:space="preserve">participants come to full agreement on a number of key processes while observing areas for improvement for improved future operations. </w:t>
      </w:r>
      <w:r>
        <w:t>Key decisions included:</w:t>
      </w:r>
    </w:p>
    <w:p w:rsidR="00BA0ABF" w:rsidRDefault="00BA0ABF" w:rsidP="00817DA2">
      <w:pPr>
        <w:pStyle w:val="ListParagraph"/>
        <w:numPr>
          <w:ilvl w:val="0"/>
          <w:numId w:val="25"/>
        </w:numPr>
        <w:ind w:left="547"/>
        <w:contextualSpacing w:val="0"/>
      </w:pPr>
      <w:r w:rsidRPr="00203C9E">
        <w:rPr>
          <w:i/>
        </w:rPr>
        <w:t>Responsibility of Logistical Requirements</w:t>
      </w:r>
      <w:r>
        <w:t>: Resource</w:t>
      </w:r>
      <w:r w:rsidR="001F6646">
        <w:t>s</w:t>
      </w:r>
      <w:r>
        <w:t xml:space="preserve"> requested</w:t>
      </w:r>
      <w:r w:rsidR="001F6646">
        <w:t xml:space="preserve"> by local jurisdictions</w:t>
      </w:r>
      <w:r>
        <w:t xml:space="preserve"> through the County Emergency Operations Center (EOC) are the responsibility of the County EOC from initial request to arrival at </w:t>
      </w:r>
      <w:r w:rsidR="001F6646">
        <w:t xml:space="preserve">the </w:t>
      </w:r>
      <w:r>
        <w:t>identified delivery location. Upon arrival at the designated de</w:t>
      </w:r>
      <w:r w:rsidR="007F3507">
        <w:t>livery location, the resource then becomes</w:t>
      </w:r>
      <w:r>
        <w:t xml:space="preserve"> the responsibility of </w:t>
      </w:r>
      <w:r w:rsidR="009E390F">
        <w:t>the jurisdiction requesting the resource (</w:t>
      </w:r>
      <w:r w:rsidR="009E390F" w:rsidRPr="00203C9E">
        <w:rPr>
          <w:i/>
        </w:rPr>
        <w:t>city, town, special districts, etc.</w:t>
      </w:r>
      <w:r w:rsidR="00C70F2A">
        <w:t>) until</w:t>
      </w:r>
      <w:r w:rsidR="001F6646">
        <w:t xml:space="preserve"> demobilization. D</w:t>
      </w:r>
      <w:r w:rsidR="007F3507">
        <w:t>uring d</w:t>
      </w:r>
      <w:r w:rsidR="002555C6">
        <w:t>emobilization</w:t>
      </w:r>
      <w:r w:rsidR="001F6646">
        <w:t xml:space="preserve"> </w:t>
      </w:r>
      <w:r w:rsidR="007F3507">
        <w:t xml:space="preserve">the responsibility then transitions </w:t>
      </w:r>
      <w:r w:rsidR="00C70F2A">
        <w:t xml:space="preserve">back </w:t>
      </w:r>
      <w:r w:rsidR="007F3507">
        <w:t>to</w:t>
      </w:r>
      <w:r w:rsidR="001F6646">
        <w:t xml:space="preserve"> the</w:t>
      </w:r>
      <w:r w:rsidR="009E390F">
        <w:t xml:space="preserve"> County EOC</w:t>
      </w:r>
      <w:r w:rsidR="001F6646">
        <w:t>.</w:t>
      </w:r>
    </w:p>
    <w:p w:rsidR="007F3507" w:rsidRPr="007F3507" w:rsidRDefault="007F3507" w:rsidP="007F3507">
      <w:pPr>
        <w:pStyle w:val="ListParagraph"/>
        <w:ind w:left="547"/>
        <w:contextualSpacing w:val="0"/>
        <w:rPr>
          <w:i/>
        </w:rPr>
      </w:pPr>
      <w:r>
        <w:rPr>
          <w:i/>
        </w:rPr>
        <w:t>Note</w:t>
      </w:r>
      <w:r w:rsidRPr="007F3507">
        <w:t>:</w:t>
      </w:r>
      <w:r>
        <w:t xml:space="preserve"> </w:t>
      </w:r>
      <w:r>
        <w:rPr>
          <w:i/>
        </w:rPr>
        <w:t xml:space="preserve">Additional </w:t>
      </w:r>
      <w:r w:rsidR="00C70F2A">
        <w:rPr>
          <w:i/>
        </w:rPr>
        <w:t>content</w:t>
      </w:r>
      <w:r>
        <w:rPr>
          <w:i/>
        </w:rPr>
        <w:t xml:space="preserve"> available under Objective 2 explanation on page 6.</w:t>
      </w:r>
    </w:p>
    <w:p w:rsidR="007F3507" w:rsidRDefault="009E390F" w:rsidP="007F3507">
      <w:pPr>
        <w:pStyle w:val="ListParagraph"/>
        <w:numPr>
          <w:ilvl w:val="0"/>
          <w:numId w:val="25"/>
        </w:numPr>
        <w:ind w:left="547"/>
        <w:contextualSpacing w:val="0"/>
      </w:pPr>
      <w:r>
        <w:rPr>
          <w:i/>
        </w:rPr>
        <w:t>Responsibility of Financial Requirements</w:t>
      </w:r>
      <w:r>
        <w:t xml:space="preserve">: Financial responsibility will always initially be the responsibility </w:t>
      </w:r>
      <w:r w:rsidR="00C70F2A">
        <w:t>of the requesting</w:t>
      </w:r>
      <w:r>
        <w:t xml:space="preserve"> organization (</w:t>
      </w:r>
      <w:r>
        <w:rPr>
          <w:i/>
        </w:rPr>
        <w:t>city, town, special district, etc.</w:t>
      </w:r>
      <w:r>
        <w:t>). If a requesting organization is unable to pay for a requested resource, the Coun</w:t>
      </w:r>
      <w:r w:rsidR="00DC645A">
        <w:t xml:space="preserve">ty EOC will make a reasonable judgement on taking financial responsibility. This judgement will be based </w:t>
      </w:r>
      <w:r w:rsidR="001F6646">
        <w:t>on incident and EOC priorities</w:t>
      </w:r>
      <w:r w:rsidR="00C70F2A">
        <w:t xml:space="preserve"> set</w:t>
      </w:r>
      <w:r w:rsidR="001F6646">
        <w:t xml:space="preserve"> by the County EOC Manager &amp; Operations Section Chief.</w:t>
      </w:r>
    </w:p>
    <w:p w:rsidR="007F3507" w:rsidRPr="007F3507" w:rsidRDefault="007F3507" w:rsidP="007F3507">
      <w:pPr>
        <w:pStyle w:val="ListParagraph"/>
        <w:ind w:left="540"/>
        <w:rPr>
          <w:i/>
        </w:rPr>
      </w:pPr>
      <w:r>
        <w:rPr>
          <w:i/>
        </w:rPr>
        <w:t xml:space="preserve">Note: Additional </w:t>
      </w:r>
      <w:r w:rsidR="00C70F2A">
        <w:rPr>
          <w:i/>
        </w:rPr>
        <w:t>content</w:t>
      </w:r>
      <w:r>
        <w:rPr>
          <w:i/>
        </w:rPr>
        <w:t xml:space="preserve"> available under Objective 3 explanation on page 7.</w:t>
      </w:r>
    </w:p>
    <w:p w:rsidR="00711404" w:rsidRDefault="00711404" w:rsidP="00711404">
      <w:pPr>
        <w:pStyle w:val="Heading1"/>
      </w:pPr>
      <w:bookmarkStart w:id="6" w:name="_Toc532976024"/>
      <w:r>
        <w:t xml:space="preserve">Analysis of </w:t>
      </w:r>
      <w:r w:rsidR="00D0443A">
        <w:t xml:space="preserve">Objective &amp; </w:t>
      </w:r>
      <w:r>
        <w:t>Core Capabilities</w:t>
      </w:r>
      <w:bookmarkEnd w:id="6"/>
    </w:p>
    <w:p w:rsidR="00711404" w:rsidRDefault="00711404" w:rsidP="00711404">
      <w:r>
        <w:t>Aligning exercise objectives and core capabilities provides a consistent taxonomy for evaluation that transcends individual exercises to support preparedness reporting and trend analysis. This section pertains to the exercise objectives, aligned core capabilities, and performance ratings for each core capability as observed during the exercise and determined by the evaluation team. The following sections provide an overview of the performance related to each exercise objective and associated core capability, highlighting strengths and areas for improvement.</w:t>
      </w:r>
    </w:p>
    <w:p w:rsidR="00711404" w:rsidRDefault="00711404" w:rsidP="00711404">
      <w:r>
        <w:t>The National Preparedness Goal of September 2015 has steered the focus of homeland security toward a capabilities-based planning approach using 32 identified Core Capabilities. Capabilities-based planning focuses on planning under uncertainty because the next disaster can never be forecast with complete accuracy. Therefore, capabilities-based planning takes an all-hazards approach to planning and preparation that builds capabilities, which can be applied to a wide variety of incidents. States and urban areas use capabilities-based planning to identify a baseline assessment of their homeland security efforts by comparing their current capabilities against the Core Capabilities. This approach identifies gaps in current capabilities.</w:t>
      </w:r>
    </w:p>
    <w:p w:rsidR="00711404" w:rsidRDefault="00711404" w:rsidP="00711404">
      <w:r>
        <w:t xml:space="preserve">The Core Capabilities are essential for the execution of each of the five mission areas: Prevention, Protection, Mitigation, Response, and Recovery. These capabilities provide the foundation for development of the exercise design objectives and scenario. </w:t>
      </w:r>
      <w:r w:rsidR="00FA5507">
        <w:t>This exercise focuses</w:t>
      </w:r>
      <w:r>
        <w:t xml:space="preserve"> on core capabilities associated with the </w:t>
      </w:r>
      <w:r w:rsidR="00FA5507">
        <w:t>Response mission area</w:t>
      </w:r>
      <w:r>
        <w:t>:</w:t>
      </w:r>
    </w:p>
    <w:p w:rsidR="00711404" w:rsidRDefault="00711404" w:rsidP="00FA5507">
      <w:pPr>
        <w:pStyle w:val="ListParagraph"/>
        <w:numPr>
          <w:ilvl w:val="0"/>
          <w:numId w:val="25"/>
        </w:numPr>
      </w:pPr>
      <w:r w:rsidRPr="00FA5507">
        <w:rPr>
          <w:i/>
        </w:rPr>
        <w:t>Response Mission Area</w:t>
      </w:r>
      <w:r>
        <w:t>: “the capabilities necessary to save lives, protect property and the environment, and meet basic human needs after an incident has occurred.”</w:t>
      </w:r>
    </w:p>
    <w:p w:rsidR="002042E2" w:rsidRDefault="002042E2" w:rsidP="002042E2">
      <w:pPr>
        <w:pStyle w:val="Heading1"/>
      </w:pPr>
      <w:bookmarkStart w:id="7" w:name="_Toc532976025"/>
      <w:r>
        <w:lastRenderedPageBreak/>
        <w:t xml:space="preserve">Objective </w:t>
      </w:r>
      <w:r w:rsidR="000677B2">
        <w:t>1</w:t>
      </w:r>
      <w:bookmarkEnd w:id="7"/>
    </w:p>
    <w:p w:rsidR="000677B2" w:rsidRDefault="000677B2" w:rsidP="002042E2">
      <w:pPr>
        <w:pStyle w:val="NoSpacing"/>
        <w:spacing w:after="120"/>
        <w:rPr>
          <w:i/>
        </w:rPr>
      </w:pPr>
      <w:r w:rsidRPr="000677B2">
        <w:rPr>
          <w:i/>
        </w:rPr>
        <w:t>Complete the process of submitting a resource request to the Oregon</w:t>
      </w:r>
      <w:r w:rsidR="00203C9E">
        <w:rPr>
          <w:i/>
        </w:rPr>
        <w:t xml:space="preserve"> Office of</w:t>
      </w:r>
      <w:r w:rsidRPr="000677B2">
        <w:rPr>
          <w:i/>
        </w:rPr>
        <w:t xml:space="preserve"> Emergency Management to align with the County Resource Request Form </w:t>
      </w:r>
    </w:p>
    <w:p w:rsidR="002042E2" w:rsidRDefault="002042E2" w:rsidP="002042E2">
      <w:pPr>
        <w:pStyle w:val="NoSpacing"/>
        <w:spacing w:after="120"/>
      </w:pPr>
      <w:r w:rsidRPr="002042E2">
        <w:rPr>
          <w:b/>
        </w:rPr>
        <w:t>Core Capability:</w:t>
      </w:r>
      <w:r w:rsidR="00B232F4">
        <w:rPr>
          <w:b/>
        </w:rPr>
        <w:t xml:space="preserve"> </w:t>
      </w:r>
      <w:r w:rsidR="00B232F4" w:rsidRPr="00B232F4">
        <w:t>Operational Coordination,</w:t>
      </w:r>
      <w:r>
        <w:t xml:space="preserve"> </w:t>
      </w:r>
      <w:r w:rsidR="009D54E3" w:rsidRPr="009D54E3">
        <w:t>Logistics &amp; Supply Chain Management</w:t>
      </w:r>
    </w:p>
    <w:p w:rsidR="002042E2" w:rsidRPr="002042E2" w:rsidRDefault="002042E2" w:rsidP="002042E2">
      <w:pPr>
        <w:pStyle w:val="NoSpacing"/>
        <w:spacing w:after="120"/>
        <w:rPr>
          <w:b/>
        </w:rPr>
      </w:pPr>
      <w:r w:rsidRPr="002042E2">
        <w:rPr>
          <w:b/>
        </w:rPr>
        <w:t>Strengths</w:t>
      </w:r>
    </w:p>
    <w:p w:rsidR="002042E2" w:rsidRDefault="002042E2" w:rsidP="002042E2">
      <w:pPr>
        <w:pStyle w:val="NoSpacing"/>
        <w:spacing w:after="120"/>
      </w:pPr>
      <w:r>
        <w:t>Exercise evaluators observed the following strengths:</w:t>
      </w:r>
    </w:p>
    <w:p w:rsidR="002042E2" w:rsidRDefault="002042E2" w:rsidP="002042E2">
      <w:pPr>
        <w:pStyle w:val="NoSpacing"/>
        <w:numPr>
          <w:ilvl w:val="0"/>
          <w:numId w:val="25"/>
        </w:numPr>
        <w:spacing w:after="120"/>
      </w:pPr>
      <w:r w:rsidRPr="00706F67">
        <w:rPr>
          <w:i/>
        </w:rPr>
        <w:t>Strength 1</w:t>
      </w:r>
      <w:r>
        <w:t>:</w:t>
      </w:r>
      <w:r w:rsidR="000B11D6">
        <w:t xml:space="preserve"> The County Resource Request Form had all the necessary content boxes to transfer </w:t>
      </w:r>
      <w:r w:rsidR="004105DB">
        <w:t xml:space="preserve">information </w:t>
      </w:r>
      <w:r w:rsidR="000B11D6">
        <w:t xml:space="preserve">into the </w:t>
      </w:r>
      <w:proofErr w:type="spellStart"/>
      <w:r w:rsidR="000B11D6">
        <w:rPr>
          <w:i/>
        </w:rPr>
        <w:t>OpsCenter</w:t>
      </w:r>
      <w:proofErr w:type="spellEnd"/>
      <w:r w:rsidR="000B11D6">
        <w:rPr>
          <w:i/>
        </w:rPr>
        <w:t xml:space="preserve"> </w:t>
      </w:r>
      <w:r w:rsidR="000B11D6">
        <w:t>system.</w:t>
      </w:r>
    </w:p>
    <w:p w:rsidR="00706F67" w:rsidRDefault="00706F67" w:rsidP="002042E2">
      <w:pPr>
        <w:pStyle w:val="NoSpacing"/>
        <w:numPr>
          <w:ilvl w:val="0"/>
          <w:numId w:val="25"/>
        </w:numPr>
        <w:spacing w:after="120"/>
      </w:pPr>
      <w:r w:rsidRPr="00706F67">
        <w:rPr>
          <w:i/>
        </w:rPr>
        <w:t>Strength 2</w:t>
      </w:r>
      <w:r>
        <w:t>:</w:t>
      </w:r>
      <w:r w:rsidR="000B11D6">
        <w:t xml:space="preserve"> </w:t>
      </w:r>
      <w:r w:rsidR="00647E5C">
        <w:t xml:space="preserve">County Emergency Operations Center (EOC) staff were able to successfully submit and track the progress of the resource request through the </w:t>
      </w:r>
      <w:proofErr w:type="spellStart"/>
      <w:r w:rsidR="00647E5C">
        <w:rPr>
          <w:i/>
        </w:rPr>
        <w:t>OpsCenter</w:t>
      </w:r>
      <w:proofErr w:type="spellEnd"/>
      <w:r w:rsidR="00647E5C">
        <w:t xml:space="preserve"> system.</w:t>
      </w:r>
    </w:p>
    <w:p w:rsidR="002042E2" w:rsidRPr="002042E2" w:rsidRDefault="002042E2" w:rsidP="002042E2">
      <w:pPr>
        <w:pStyle w:val="NoSpacing"/>
        <w:spacing w:after="120"/>
        <w:rPr>
          <w:b/>
        </w:rPr>
      </w:pPr>
      <w:r w:rsidRPr="002042E2">
        <w:rPr>
          <w:b/>
        </w:rPr>
        <w:t>Areas for Improvement</w:t>
      </w:r>
    </w:p>
    <w:p w:rsidR="002042E2" w:rsidRDefault="002042E2" w:rsidP="002042E2">
      <w:pPr>
        <w:pStyle w:val="NoSpacing"/>
        <w:spacing w:after="120"/>
      </w:pPr>
      <w:r>
        <w:t>The following areas require improvement to reach full capability level:</w:t>
      </w:r>
    </w:p>
    <w:p w:rsidR="002042E2" w:rsidRDefault="002042E2" w:rsidP="002042E2">
      <w:pPr>
        <w:pStyle w:val="NoSpacing"/>
        <w:numPr>
          <w:ilvl w:val="0"/>
          <w:numId w:val="25"/>
        </w:numPr>
        <w:spacing w:after="120"/>
      </w:pPr>
      <w:r w:rsidRPr="00706F67">
        <w:rPr>
          <w:i/>
        </w:rPr>
        <w:t>Area for Improvement 1</w:t>
      </w:r>
      <w:r>
        <w:t>:</w:t>
      </w:r>
      <w:r w:rsidR="000B11D6">
        <w:t xml:space="preserve"> There was no guidance for County Emergency Operations Center (EOC) staff for</w:t>
      </w:r>
      <w:r w:rsidR="00706F67">
        <w:t xml:space="preserve"> </w:t>
      </w:r>
      <w:proofErr w:type="spellStart"/>
      <w:r w:rsidR="00D0443A">
        <w:rPr>
          <w:i/>
        </w:rPr>
        <w:t>OpsCent</w:t>
      </w:r>
      <w:r w:rsidR="000B11D6">
        <w:rPr>
          <w:i/>
        </w:rPr>
        <w:t>er</w:t>
      </w:r>
      <w:proofErr w:type="spellEnd"/>
      <w:r w:rsidR="000B11D6">
        <w:t xml:space="preserve"> content inclusion.</w:t>
      </w:r>
    </w:p>
    <w:p w:rsidR="004105DB" w:rsidRDefault="002042E2" w:rsidP="00D61E59">
      <w:pPr>
        <w:pStyle w:val="NoSpacing"/>
        <w:numPr>
          <w:ilvl w:val="1"/>
          <w:numId w:val="25"/>
        </w:numPr>
        <w:spacing w:after="120"/>
      </w:pPr>
      <w:r w:rsidRPr="00C36440">
        <w:rPr>
          <w:u w:val="single"/>
        </w:rPr>
        <w:t>Analysis</w:t>
      </w:r>
      <w:r>
        <w:t>:</w:t>
      </w:r>
      <w:r w:rsidR="00A51D6A">
        <w:t xml:space="preserve"> </w:t>
      </w:r>
      <w:r w:rsidR="004105DB">
        <w:t xml:space="preserve">There is currently no guidance for submitting resource requests through the </w:t>
      </w:r>
      <w:proofErr w:type="spellStart"/>
      <w:r w:rsidR="004105DB" w:rsidRPr="00C36440">
        <w:rPr>
          <w:i/>
        </w:rPr>
        <w:t>OpsCenter</w:t>
      </w:r>
      <w:proofErr w:type="spellEnd"/>
      <w:r w:rsidR="004105DB" w:rsidRPr="00C36440">
        <w:rPr>
          <w:i/>
        </w:rPr>
        <w:t xml:space="preserve"> </w:t>
      </w:r>
      <w:r w:rsidR="004105DB">
        <w:t>s</w:t>
      </w:r>
      <w:r w:rsidR="00C36440">
        <w:t xml:space="preserve">ystem. </w:t>
      </w:r>
      <w:r w:rsidR="000B11D6" w:rsidRPr="000B11D6">
        <w:t xml:space="preserve">County Emergency Operations Center (EOC) staff requesting resources through </w:t>
      </w:r>
      <w:proofErr w:type="spellStart"/>
      <w:r w:rsidR="000B11D6" w:rsidRPr="00C36440">
        <w:rPr>
          <w:i/>
        </w:rPr>
        <w:t>OpsCenter</w:t>
      </w:r>
      <w:proofErr w:type="spellEnd"/>
      <w:r w:rsidR="004105DB">
        <w:t xml:space="preserve"> </w:t>
      </w:r>
      <w:r w:rsidR="000B11D6" w:rsidRPr="000B11D6">
        <w:t>were not</w:t>
      </w:r>
      <w:r w:rsidR="000B11D6">
        <w:t>ified they had not selected the “Release Form” button when submitting the request. The need to select this button was not known to the staff.</w:t>
      </w:r>
      <w:r w:rsidR="004105DB">
        <w:t xml:space="preserve"> </w:t>
      </w:r>
    </w:p>
    <w:p w:rsidR="0015484F" w:rsidRPr="0015484F" w:rsidRDefault="0015484F" w:rsidP="004105DB">
      <w:pPr>
        <w:pStyle w:val="NoSpacing"/>
        <w:spacing w:after="120"/>
        <w:ind w:left="1170"/>
      </w:pPr>
      <w:r>
        <w:t>Staff went to click the “submit” button and were provided an “invalid time format” message. There was no indication which time had been input wrong and took some time for staff to identify the issue (</w:t>
      </w:r>
      <w:r w:rsidRPr="004105DB">
        <w:rPr>
          <w:i/>
        </w:rPr>
        <w:t>staff had input “ASAP” as a time that was not accepted</w:t>
      </w:r>
      <w:r>
        <w:t>).</w:t>
      </w:r>
    </w:p>
    <w:p w:rsidR="009161BD" w:rsidRDefault="009161BD" w:rsidP="009161BD">
      <w:pPr>
        <w:pStyle w:val="NoSpacing"/>
        <w:numPr>
          <w:ilvl w:val="0"/>
          <w:numId w:val="25"/>
        </w:numPr>
        <w:spacing w:after="120"/>
      </w:pPr>
      <w:r>
        <w:rPr>
          <w:i/>
        </w:rPr>
        <w:t>Area for Improvement 2</w:t>
      </w:r>
      <w:r>
        <w:t>:</w:t>
      </w:r>
      <w:r w:rsidR="000B11D6">
        <w:t xml:space="preserve"> Adjustments to the </w:t>
      </w:r>
      <w:proofErr w:type="spellStart"/>
      <w:r w:rsidR="000B11D6">
        <w:rPr>
          <w:i/>
        </w:rPr>
        <w:t>OpsCenter</w:t>
      </w:r>
      <w:proofErr w:type="spellEnd"/>
      <w:r w:rsidR="000B11D6">
        <w:t xml:space="preserve"> request were not clearly visible to the County Emergency Operations Center (EOC) staff making it difficult to know what actions were being taken by the State.</w:t>
      </w:r>
    </w:p>
    <w:p w:rsidR="000677B2" w:rsidRDefault="009161BD" w:rsidP="000677B2">
      <w:pPr>
        <w:pStyle w:val="NoSpacing"/>
        <w:numPr>
          <w:ilvl w:val="1"/>
          <w:numId w:val="25"/>
        </w:numPr>
        <w:spacing w:after="120"/>
      </w:pPr>
      <w:r w:rsidRPr="005816B6">
        <w:rPr>
          <w:u w:val="single"/>
        </w:rPr>
        <w:t>Analysis</w:t>
      </w:r>
      <w:r>
        <w:t xml:space="preserve">: </w:t>
      </w:r>
      <w:r w:rsidR="000B11D6">
        <w:t>The “Request Status” box was adjusted by State Emergency Coordinating Center (ECC) staff, however there was no specific language identifying what actions were being taken to address the resource request.</w:t>
      </w:r>
    </w:p>
    <w:p w:rsidR="00522A23" w:rsidRDefault="000B11D6" w:rsidP="00522A23">
      <w:pPr>
        <w:pStyle w:val="NoSpacing"/>
        <w:spacing w:after="120"/>
        <w:ind w:left="1170"/>
      </w:pPr>
      <w:r>
        <w:t>The resource request did have a point of contact, however it was not clear who (</w:t>
      </w:r>
      <w:r>
        <w:rPr>
          <w:i/>
        </w:rPr>
        <w:t>organization/Emergency Support Function</w:t>
      </w:r>
      <w:r>
        <w:t>) was responsible for addressing the resource request.</w:t>
      </w:r>
    </w:p>
    <w:p w:rsidR="00522A23" w:rsidRDefault="00522A23" w:rsidP="00522A23">
      <w:pPr>
        <w:pStyle w:val="NoSpacing"/>
        <w:numPr>
          <w:ilvl w:val="0"/>
          <w:numId w:val="25"/>
        </w:numPr>
        <w:spacing w:after="120"/>
      </w:pPr>
      <w:r>
        <w:rPr>
          <w:i/>
        </w:rPr>
        <w:t>Area for Improvement 3:</w:t>
      </w:r>
      <w:r>
        <w:t xml:space="preserve"> It is unclear how resource requests that cannot be fulfilled will be handled. </w:t>
      </w:r>
    </w:p>
    <w:p w:rsidR="00522A23" w:rsidRDefault="00522A23" w:rsidP="00522A23">
      <w:pPr>
        <w:pStyle w:val="NoSpacing"/>
        <w:numPr>
          <w:ilvl w:val="1"/>
          <w:numId w:val="25"/>
        </w:numPr>
        <w:spacing w:after="120"/>
      </w:pPr>
      <w:r w:rsidRPr="00522A23">
        <w:rPr>
          <w:u w:val="single"/>
        </w:rPr>
        <w:t>Analysis</w:t>
      </w:r>
      <w:r>
        <w:t>: If an organization submits</w:t>
      </w:r>
      <w:r w:rsidRPr="00522A23">
        <w:t xml:space="preserve"> a resource </w:t>
      </w:r>
      <w:r>
        <w:t>request with a desired delivery time, but that resource is not available until beyond the desired delivery time</w:t>
      </w:r>
      <w:r w:rsidRPr="00522A23">
        <w:t xml:space="preserve">, </w:t>
      </w:r>
      <w:r>
        <w:t>how will that resource request be handled? Will it be discarded</w:t>
      </w:r>
      <w:r w:rsidRPr="00522A23">
        <w:t xml:space="preserve">? </w:t>
      </w:r>
      <w:r>
        <w:t xml:space="preserve">Does </w:t>
      </w:r>
      <w:r w:rsidRPr="00522A23">
        <w:t xml:space="preserve">the resource request needs </w:t>
      </w:r>
      <w:r>
        <w:t>some sort of expiration date</w:t>
      </w:r>
      <w:r w:rsidRPr="00522A23">
        <w:t xml:space="preserve"> </w:t>
      </w:r>
      <w:r>
        <w:t>where the organization fulfilling a request contacts a</w:t>
      </w:r>
      <w:r w:rsidRPr="00522A23">
        <w:t xml:space="preserve"> requestor if the request can’t be filled before the asked for delivery time</w:t>
      </w:r>
      <w:r>
        <w:t>?</w:t>
      </w:r>
    </w:p>
    <w:p w:rsidR="008E5A4D" w:rsidRDefault="008E5A4D" w:rsidP="008E5A4D">
      <w:pPr>
        <w:pStyle w:val="Heading1"/>
      </w:pPr>
      <w:bookmarkStart w:id="8" w:name="_Toc532976026"/>
      <w:r>
        <w:lastRenderedPageBreak/>
        <w:t xml:space="preserve">Objective </w:t>
      </w:r>
      <w:r w:rsidR="000677B2">
        <w:t>2</w:t>
      </w:r>
      <w:bookmarkEnd w:id="8"/>
    </w:p>
    <w:p w:rsidR="000677B2" w:rsidRDefault="000677B2" w:rsidP="008E5A4D">
      <w:pPr>
        <w:pStyle w:val="NoSpacing"/>
        <w:spacing w:after="120"/>
        <w:rPr>
          <w:i/>
        </w:rPr>
      </w:pPr>
      <w:r w:rsidRPr="000677B2">
        <w:rPr>
          <w:i/>
        </w:rPr>
        <w:t>Identify the logistical responsibilities of resources requested through the County Emergency Operations Center (EOC).</w:t>
      </w:r>
    </w:p>
    <w:p w:rsidR="008E5A4D" w:rsidRPr="00B232F4" w:rsidRDefault="008E5A4D" w:rsidP="008E5A4D">
      <w:pPr>
        <w:pStyle w:val="NoSpacing"/>
        <w:spacing w:after="120"/>
      </w:pPr>
      <w:r w:rsidRPr="002042E2">
        <w:rPr>
          <w:b/>
        </w:rPr>
        <w:t>Core Capability:</w:t>
      </w:r>
      <w:r>
        <w:t xml:space="preserve"> </w:t>
      </w:r>
      <w:r w:rsidR="00B232F4" w:rsidRPr="00B232F4">
        <w:t>Operational Coordination, Logistics &amp; Supply Chain Management</w:t>
      </w:r>
    </w:p>
    <w:p w:rsidR="008E5A4D" w:rsidRPr="002042E2" w:rsidRDefault="008E5A4D" w:rsidP="008E5A4D">
      <w:pPr>
        <w:pStyle w:val="NoSpacing"/>
        <w:spacing w:after="120"/>
        <w:rPr>
          <w:b/>
        </w:rPr>
      </w:pPr>
      <w:r w:rsidRPr="002042E2">
        <w:rPr>
          <w:b/>
        </w:rPr>
        <w:t>Strengths</w:t>
      </w:r>
    </w:p>
    <w:p w:rsidR="008E5A4D" w:rsidRDefault="008E5A4D" w:rsidP="008E5A4D">
      <w:pPr>
        <w:pStyle w:val="NoSpacing"/>
        <w:spacing w:after="120"/>
      </w:pPr>
      <w:r>
        <w:t>Exercise evaluators observed the following strengths:</w:t>
      </w:r>
    </w:p>
    <w:p w:rsidR="000677B2" w:rsidRDefault="008E5A4D" w:rsidP="005345B5">
      <w:pPr>
        <w:pStyle w:val="NoSpacing"/>
        <w:numPr>
          <w:ilvl w:val="0"/>
          <w:numId w:val="25"/>
        </w:numPr>
        <w:spacing w:after="120"/>
      </w:pPr>
      <w:r w:rsidRPr="000677B2">
        <w:rPr>
          <w:i/>
        </w:rPr>
        <w:t>Strength 1</w:t>
      </w:r>
      <w:r>
        <w:t>:</w:t>
      </w:r>
      <w:r w:rsidR="00050E0F" w:rsidRPr="00050E0F">
        <w:t xml:space="preserve"> </w:t>
      </w:r>
      <w:r w:rsidR="005345B5">
        <w:t>Requests</w:t>
      </w:r>
      <w:r w:rsidR="005345B5" w:rsidRPr="005345B5">
        <w:t xml:space="preserve"> </w:t>
      </w:r>
      <w:r w:rsidR="005345B5">
        <w:t>coming from a known trusted title/organization</w:t>
      </w:r>
      <w:r w:rsidR="005345B5" w:rsidRPr="005345B5">
        <w:t xml:space="preserve"> (</w:t>
      </w:r>
      <w:r w:rsidR="005345B5" w:rsidRPr="005345B5">
        <w:rPr>
          <w:i/>
        </w:rPr>
        <w:t xml:space="preserve">e.g. Gresham Emergency Management or Portland Emergency </w:t>
      </w:r>
      <w:r w:rsidR="00E63603">
        <w:rPr>
          <w:i/>
        </w:rPr>
        <w:t>Coordination</w:t>
      </w:r>
      <w:r w:rsidR="005345B5">
        <w:rPr>
          <w:i/>
        </w:rPr>
        <w:t xml:space="preserve"> Logistics Section</w:t>
      </w:r>
      <w:r w:rsidR="005345B5">
        <w:t>)</w:t>
      </w:r>
      <w:r w:rsidR="005345B5" w:rsidRPr="005345B5">
        <w:t xml:space="preserve"> </w:t>
      </w:r>
      <w:r w:rsidR="005345B5">
        <w:t>are currently understood as authorized.</w:t>
      </w:r>
    </w:p>
    <w:p w:rsidR="00050E0F" w:rsidRDefault="00050E0F" w:rsidP="003031B8">
      <w:pPr>
        <w:pStyle w:val="NoSpacing"/>
        <w:numPr>
          <w:ilvl w:val="0"/>
          <w:numId w:val="25"/>
        </w:numPr>
        <w:spacing w:after="120"/>
      </w:pPr>
      <w:r w:rsidRPr="000677B2">
        <w:rPr>
          <w:i/>
        </w:rPr>
        <w:t>Strength 2</w:t>
      </w:r>
      <w:r>
        <w:t>:</w:t>
      </w:r>
      <w:r w:rsidR="00DB1274">
        <w:t xml:space="preserve"> All participating organizations agreed upon the logistical responsibilities of resources from initial request to demobilization and return</w:t>
      </w:r>
      <w:r w:rsidR="000D1565">
        <w:t>.</w:t>
      </w:r>
    </w:p>
    <w:p w:rsidR="00B132FB" w:rsidRDefault="00DB1274" w:rsidP="00237B9D">
      <w:pPr>
        <w:pStyle w:val="NoSpacing"/>
        <w:numPr>
          <w:ilvl w:val="1"/>
          <w:numId w:val="25"/>
        </w:numPr>
        <w:spacing w:after="120"/>
      </w:pPr>
      <w:r w:rsidRPr="007B7E3A">
        <w:rPr>
          <w:u w:val="single"/>
        </w:rPr>
        <w:t>Analysis</w:t>
      </w:r>
      <w:r>
        <w:t>:</w:t>
      </w:r>
      <w:r w:rsidRPr="00DB1274">
        <w:t xml:space="preserve"> If the County E</w:t>
      </w:r>
      <w:r>
        <w:t xml:space="preserve">mergency </w:t>
      </w:r>
      <w:r w:rsidRPr="00DB1274">
        <w:t>O</w:t>
      </w:r>
      <w:r>
        <w:t xml:space="preserve">perations </w:t>
      </w:r>
      <w:r w:rsidRPr="00DB1274">
        <w:t>C</w:t>
      </w:r>
      <w:r>
        <w:t>enter</w:t>
      </w:r>
      <w:r w:rsidR="00C9001D">
        <w:t xml:space="preserve"> (EOC)</w:t>
      </w:r>
      <w:r w:rsidRPr="00DB1274">
        <w:t xml:space="preserve"> is</w:t>
      </w:r>
      <w:r w:rsidR="001A1699">
        <w:t xml:space="preserve"> involved in directly filling a</w:t>
      </w:r>
      <w:r w:rsidR="007B7E3A">
        <w:t xml:space="preserve"> resource</w:t>
      </w:r>
      <w:r w:rsidR="001A1699">
        <w:t xml:space="preserve"> request</w:t>
      </w:r>
      <w:r w:rsidRPr="00DB1274">
        <w:t>, the understandi</w:t>
      </w:r>
      <w:r w:rsidR="001A1699">
        <w:t xml:space="preserve">ng is that the County EOC is responsible for coordination </w:t>
      </w:r>
      <w:r w:rsidRPr="00DB1274">
        <w:t xml:space="preserve">between the requestor and the provider of the resource </w:t>
      </w:r>
      <w:r w:rsidR="007B7E3A">
        <w:t xml:space="preserve">through arrival at the identified delivery location. </w:t>
      </w:r>
    </w:p>
    <w:p w:rsidR="00B132FB" w:rsidRDefault="00DB1274" w:rsidP="00B132FB">
      <w:pPr>
        <w:pStyle w:val="NoSpacing"/>
        <w:spacing w:after="120"/>
        <w:ind w:left="1170"/>
      </w:pPr>
      <w:r w:rsidRPr="00DB1274">
        <w:t xml:space="preserve">The original requesting agency/organization is responsible </w:t>
      </w:r>
      <w:r w:rsidR="00C9001D" w:rsidRPr="00C9001D">
        <w:t xml:space="preserve">for tracking the resource </w:t>
      </w:r>
      <w:r w:rsidR="007B7E3A">
        <w:t>after arrival</w:t>
      </w:r>
      <w:r w:rsidR="00C9001D" w:rsidRPr="00C9001D">
        <w:t xml:space="preserve"> </w:t>
      </w:r>
      <w:r w:rsidR="00066A45">
        <w:t>at a designated delivery site</w:t>
      </w:r>
      <w:r w:rsidR="00B132FB">
        <w:t xml:space="preserve"> until</w:t>
      </w:r>
      <w:r w:rsidR="00C9001D" w:rsidRPr="009A1154">
        <w:rPr>
          <w:b/>
          <w:i/>
        </w:rPr>
        <w:t xml:space="preserve"> </w:t>
      </w:r>
      <w:r w:rsidR="00C9001D" w:rsidRPr="009A1154">
        <w:t>demobilization</w:t>
      </w:r>
      <w:r w:rsidR="00066A45" w:rsidRPr="009A1154">
        <w:t xml:space="preserve"> </w:t>
      </w:r>
      <w:r w:rsidR="00B132FB">
        <w:t>begin</w:t>
      </w:r>
      <w:r w:rsidR="00C9001D" w:rsidRPr="00C9001D">
        <w:t xml:space="preserve">. </w:t>
      </w:r>
      <w:r w:rsidR="00066A45">
        <w:t>City Operation Centers</w:t>
      </w:r>
      <w:r w:rsidR="002555C6">
        <w:t xml:space="preserve"> would</w:t>
      </w:r>
      <w:r w:rsidR="007B7E3A">
        <w:t xml:space="preserve"> be the point of contact for </w:t>
      </w:r>
      <w:r w:rsidR="00C9001D" w:rsidRPr="00C9001D">
        <w:t>the County EOC</w:t>
      </w:r>
      <w:r w:rsidR="007B7E3A">
        <w:t xml:space="preserve"> to acquire resource status and tracking </w:t>
      </w:r>
      <w:r w:rsidR="002555C6">
        <w:t>for city-requested resources.</w:t>
      </w:r>
      <w:r w:rsidR="006E639A">
        <w:t xml:space="preserve"> Non-municipal entities requesting resources should also be coordinating with the County EOC for tracking purposes.</w:t>
      </w:r>
      <w:r w:rsidR="002555C6">
        <w:t xml:space="preserve"> </w:t>
      </w:r>
    </w:p>
    <w:p w:rsidR="00DB1274" w:rsidRDefault="00237B9D" w:rsidP="00B132FB">
      <w:pPr>
        <w:pStyle w:val="NoSpacing"/>
        <w:spacing w:after="120"/>
        <w:ind w:left="1170"/>
      </w:pPr>
      <w:r w:rsidRPr="00237B9D">
        <w:t xml:space="preserve">During demobilization </w:t>
      </w:r>
      <w:r>
        <w:t>the responsibility</w:t>
      </w:r>
      <w:r w:rsidRPr="00237B9D">
        <w:t xml:space="preserve"> transitions back to the County EOC.</w:t>
      </w:r>
    </w:p>
    <w:p w:rsidR="00332B22" w:rsidRDefault="00332B22" w:rsidP="00332B22">
      <w:pPr>
        <w:pStyle w:val="NoSpacing"/>
        <w:numPr>
          <w:ilvl w:val="0"/>
          <w:numId w:val="25"/>
        </w:numPr>
        <w:spacing w:after="120"/>
      </w:pPr>
      <w:r>
        <w:rPr>
          <w:i/>
        </w:rPr>
        <w:t>Strength 3</w:t>
      </w:r>
      <w:r>
        <w:t xml:space="preserve">: </w:t>
      </w:r>
      <w:r w:rsidRPr="00332B22">
        <w:t xml:space="preserve">The </w:t>
      </w:r>
      <w:r w:rsidR="009A1154">
        <w:t>Regional Disaster</w:t>
      </w:r>
      <w:r w:rsidR="004105DB">
        <w:t xml:space="preserve"> Preparedness Organization (</w:t>
      </w:r>
      <w:r w:rsidRPr="00332B22">
        <w:t>RDPO</w:t>
      </w:r>
      <w:r w:rsidR="004105DB">
        <w:t>)</w:t>
      </w:r>
      <w:r w:rsidRPr="00332B22">
        <w:t xml:space="preserve"> regional resource request</w:t>
      </w:r>
      <w:r w:rsidR="000A49BE">
        <w:t xml:space="preserve"> handbook and training has assisted with county-wide</w:t>
      </w:r>
      <w:r w:rsidRPr="00332B22">
        <w:t xml:space="preserve"> understand</w:t>
      </w:r>
      <w:r w:rsidR="000A49BE">
        <w:t xml:space="preserve"> of</w:t>
      </w:r>
      <w:r w:rsidRPr="00332B22">
        <w:t xml:space="preserve"> the resource request and tracking process.</w:t>
      </w:r>
    </w:p>
    <w:p w:rsidR="008E5A4D" w:rsidRPr="002042E2" w:rsidRDefault="008E5A4D" w:rsidP="008E5A4D">
      <w:pPr>
        <w:pStyle w:val="NoSpacing"/>
        <w:spacing w:after="120"/>
        <w:rPr>
          <w:b/>
        </w:rPr>
      </w:pPr>
      <w:r w:rsidRPr="002042E2">
        <w:rPr>
          <w:b/>
        </w:rPr>
        <w:t>Areas for Improvement</w:t>
      </w:r>
    </w:p>
    <w:p w:rsidR="008E5A4D" w:rsidRDefault="008E5A4D" w:rsidP="008E5A4D">
      <w:pPr>
        <w:pStyle w:val="NoSpacing"/>
        <w:spacing w:after="120"/>
      </w:pPr>
      <w:r>
        <w:t>The following areas require improvement to reach full capability level:</w:t>
      </w:r>
    </w:p>
    <w:p w:rsidR="008E5A4D" w:rsidRDefault="008E5A4D" w:rsidP="001B53E3">
      <w:pPr>
        <w:pStyle w:val="NoSpacing"/>
        <w:numPr>
          <w:ilvl w:val="0"/>
          <w:numId w:val="25"/>
        </w:numPr>
        <w:spacing w:after="120"/>
      </w:pPr>
      <w:r w:rsidRPr="0019622F">
        <w:rPr>
          <w:i/>
        </w:rPr>
        <w:t>Area for Improvement 1</w:t>
      </w:r>
      <w:r>
        <w:t>:</w:t>
      </w:r>
      <w:r w:rsidR="0019622F">
        <w:t xml:space="preserve"> </w:t>
      </w:r>
      <w:r w:rsidR="001B53E3">
        <w:t>Identifying authorized resource requests from individuals or organizations that are not familiar to the County Emergency Operations Center (EOC).</w:t>
      </w:r>
    </w:p>
    <w:p w:rsidR="005C2533" w:rsidRPr="00B232F4" w:rsidRDefault="008E5A4D" w:rsidP="005C2533">
      <w:pPr>
        <w:pStyle w:val="ListParagraph"/>
        <w:numPr>
          <w:ilvl w:val="1"/>
          <w:numId w:val="25"/>
        </w:numPr>
        <w:contextualSpacing w:val="0"/>
      </w:pPr>
      <w:r w:rsidRPr="009F0781">
        <w:rPr>
          <w:u w:val="single"/>
        </w:rPr>
        <w:t>Analysis</w:t>
      </w:r>
      <w:r w:rsidR="0019622F">
        <w:t xml:space="preserve">: </w:t>
      </w:r>
      <w:r w:rsidR="007B7E3A">
        <w:t>Sometimes, current/regular partners are</w:t>
      </w:r>
      <w:r w:rsidR="001B53E3">
        <w:t xml:space="preserve"> not</w:t>
      </w:r>
      <w:r w:rsidR="007B7E3A">
        <w:t xml:space="preserve"> the individuals </w:t>
      </w:r>
      <w:r w:rsidR="001B53E3">
        <w:t>making</w:t>
      </w:r>
      <w:r w:rsidR="001B53E3" w:rsidRPr="001B53E3">
        <w:t xml:space="preserve"> requests and the County </w:t>
      </w:r>
      <w:r w:rsidR="002334C2">
        <w:t xml:space="preserve">EOC </w:t>
      </w:r>
      <w:r w:rsidR="001B53E3" w:rsidRPr="001B53E3">
        <w:t xml:space="preserve">may not </w:t>
      </w:r>
      <w:r w:rsidR="009F0781">
        <w:t xml:space="preserve">be clear on the approved </w:t>
      </w:r>
      <w:r w:rsidR="001B53E3" w:rsidRPr="001B53E3">
        <w:t>authorization</w:t>
      </w:r>
      <w:r w:rsidR="002334C2">
        <w:t xml:space="preserve"> to make a request</w:t>
      </w:r>
      <w:r w:rsidR="001B53E3" w:rsidRPr="001B53E3">
        <w:t xml:space="preserve">. In that case, there </w:t>
      </w:r>
      <w:r w:rsidR="001B53E3">
        <w:t xml:space="preserve">is a need for </w:t>
      </w:r>
      <w:r w:rsidR="002334C2">
        <w:t>a</w:t>
      </w:r>
      <w:r w:rsidR="001B53E3" w:rsidRPr="001B53E3">
        <w:t xml:space="preserve"> process</w:t>
      </w:r>
      <w:r w:rsidR="009F0781">
        <w:t xml:space="preserve"> to identify “approved” requesters</w:t>
      </w:r>
      <w:r w:rsidR="002334C2">
        <w:t>.</w:t>
      </w:r>
      <w:r w:rsidR="009F0781">
        <w:t xml:space="preserve"> Not every organization</w:t>
      </w:r>
      <w:r w:rsidR="00B232F4" w:rsidRPr="00B232F4">
        <w:t xml:space="preserve"> uses ded</w:t>
      </w:r>
      <w:r w:rsidR="000B11D6">
        <w:t>icated email addresses</w:t>
      </w:r>
      <w:r w:rsidR="002334C2">
        <w:t xml:space="preserve"> in their </w:t>
      </w:r>
      <w:r w:rsidR="00E63603">
        <w:t xml:space="preserve">Emergency </w:t>
      </w:r>
      <w:r w:rsidR="002334C2">
        <w:t>Operations</w:t>
      </w:r>
      <w:r w:rsidR="00E63603">
        <w:t>/Coordination</w:t>
      </w:r>
      <w:r w:rsidR="002334C2">
        <w:t xml:space="preserve"> Center(s)</w:t>
      </w:r>
      <w:r w:rsidR="000B11D6">
        <w:t xml:space="preserve">, even if </w:t>
      </w:r>
      <w:r w:rsidR="00B232F4" w:rsidRPr="00B232F4">
        <w:t>they have them.</w:t>
      </w:r>
      <w:r w:rsidR="00066A45">
        <w:t xml:space="preserve"> R</w:t>
      </w:r>
      <w:r w:rsidR="002334C2">
        <w:t>esource requests are submitted</w:t>
      </w:r>
      <w:r w:rsidR="00066A45">
        <w:t xml:space="preserve"> through a number of methods, including:</w:t>
      </w:r>
      <w:r w:rsidR="002334C2">
        <w:t xml:space="preserve"> phone call,</w:t>
      </w:r>
      <w:r w:rsidR="009F0781">
        <w:t xml:space="preserve"> text, or an individual’s work email</w:t>
      </w:r>
      <w:r w:rsidR="00B232F4" w:rsidRPr="00B232F4">
        <w:t>.</w:t>
      </w:r>
      <w:r w:rsidR="00237B9D">
        <w:t xml:space="preserve"> Identifying an “authorized” requestor will ultimately be the responsibility of the County EOC Operations Section Chief.</w:t>
      </w:r>
    </w:p>
    <w:p w:rsidR="004879BF" w:rsidRDefault="009F0781" w:rsidP="000B11D6">
      <w:pPr>
        <w:ind w:left="1170"/>
      </w:pPr>
      <w:r>
        <w:t>The group also discussed identifying</w:t>
      </w:r>
      <w:r w:rsidR="004879BF">
        <w:t xml:space="preserve"> if there i</w:t>
      </w:r>
      <w:r w:rsidR="004879BF" w:rsidRPr="004879BF">
        <w:t>s there an authorization recommendation guidance in the Regional Resource Guidebook</w:t>
      </w:r>
      <w:r w:rsidR="00E63603">
        <w:t>.</w:t>
      </w:r>
    </w:p>
    <w:p w:rsidR="00C9001D" w:rsidRDefault="00C9001D" w:rsidP="00C9001D">
      <w:pPr>
        <w:pStyle w:val="ListParagraph"/>
        <w:numPr>
          <w:ilvl w:val="0"/>
          <w:numId w:val="25"/>
        </w:numPr>
        <w:contextualSpacing w:val="0"/>
      </w:pPr>
      <w:r>
        <w:rPr>
          <w:i/>
        </w:rPr>
        <w:lastRenderedPageBreak/>
        <w:t>Area for Improvement 2</w:t>
      </w:r>
      <w:r>
        <w:t xml:space="preserve">: </w:t>
      </w:r>
      <w:r w:rsidRPr="00C9001D">
        <w:t>It was discovered that a system is needed to notify County E</w:t>
      </w:r>
      <w:r>
        <w:t xml:space="preserve">mergency </w:t>
      </w:r>
      <w:r w:rsidRPr="00C9001D">
        <w:t>O</w:t>
      </w:r>
      <w:r>
        <w:t xml:space="preserve">perations </w:t>
      </w:r>
      <w:r w:rsidRPr="00C9001D">
        <w:t>C</w:t>
      </w:r>
      <w:r>
        <w:t>enter</w:t>
      </w:r>
      <w:r w:rsidR="00D20E3B">
        <w:t xml:space="preserve"> (EOC)</w:t>
      </w:r>
      <w:r w:rsidR="009A1154">
        <w:t xml:space="preserve"> that a resource</w:t>
      </w:r>
      <w:r w:rsidRPr="00C9001D">
        <w:t xml:space="preserve"> has arrived on scen</w:t>
      </w:r>
      <w:r>
        <w:t>e</w:t>
      </w:r>
      <w:r w:rsidR="00E8398E">
        <w:t>.</w:t>
      </w:r>
    </w:p>
    <w:p w:rsidR="00237B9D" w:rsidRDefault="00C9001D" w:rsidP="00D20E3B">
      <w:pPr>
        <w:pStyle w:val="ListParagraph"/>
        <w:numPr>
          <w:ilvl w:val="1"/>
          <w:numId w:val="25"/>
        </w:numPr>
        <w:contextualSpacing w:val="0"/>
      </w:pPr>
      <w:r w:rsidRPr="00D20E3B">
        <w:rPr>
          <w:u w:val="single"/>
        </w:rPr>
        <w:t>Analysis</w:t>
      </w:r>
      <w:r>
        <w:t>: With the County Emergency Operations Center (EOC) holding the responsibility of tracking a resource until it arrives on scene, it is important for the County EOC to be notified when that resource arrives. This process will improve accountability and notify the County of any issues with a requested resource.</w:t>
      </w:r>
      <w:r w:rsidR="00237B9D">
        <w:t xml:space="preserve"> </w:t>
      </w:r>
    </w:p>
    <w:p w:rsidR="00066A45" w:rsidRPr="00237B9D" w:rsidRDefault="00237B9D" w:rsidP="00237B9D">
      <w:pPr>
        <w:pStyle w:val="ListParagraph"/>
        <w:ind w:left="1170"/>
        <w:contextualSpacing w:val="0"/>
      </w:pPr>
      <w:r>
        <w:t>This process is necessary for notifying both the responsible party receiving a requested resource and the initial requestor (</w:t>
      </w:r>
      <w:r>
        <w:rPr>
          <w:i/>
        </w:rPr>
        <w:t>the initial requestor may not be the party responsible with receiving the requested resource</w:t>
      </w:r>
      <w:r>
        <w:t>).</w:t>
      </w:r>
    </w:p>
    <w:p w:rsidR="00C9001D" w:rsidRDefault="00C9001D" w:rsidP="00C9001D">
      <w:pPr>
        <w:pStyle w:val="ListParagraph"/>
        <w:numPr>
          <w:ilvl w:val="0"/>
          <w:numId w:val="25"/>
        </w:numPr>
        <w:contextualSpacing w:val="0"/>
      </w:pPr>
      <w:r>
        <w:rPr>
          <w:i/>
        </w:rPr>
        <w:t>Area for Improvement 3</w:t>
      </w:r>
      <w:r>
        <w:t xml:space="preserve">: The County Emergency Operations Center (EOC) </w:t>
      </w:r>
      <w:r w:rsidR="000D1565">
        <w:t>would benefit from g</w:t>
      </w:r>
      <w:r w:rsidRPr="00C9001D">
        <w:t>ather</w:t>
      </w:r>
      <w:r w:rsidR="000D1565">
        <w:t>ing requested</w:t>
      </w:r>
      <w:r w:rsidRPr="00C9001D">
        <w:t xml:space="preserve"> </w:t>
      </w:r>
      <w:r w:rsidR="000D1565">
        <w:t xml:space="preserve">critical resource </w:t>
      </w:r>
      <w:r w:rsidRPr="00C9001D">
        <w:t>infor</w:t>
      </w:r>
      <w:r w:rsidR="000D1565">
        <w:t>mation from responding entities.</w:t>
      </w:r>
    </w:p>
    <w:p w:rsidR="000D1565" w:rsidRDefault="000D1565" w:rsidP="000D1565">
      <w:pPr>
        <w:pStyle w:val="ListParagraph"/>
        <w:numPr>
          <w:ilvl w:val="1"/>
          <w:numId w:val="25"/>
        </w:numPr>
        <w:contextualSpacing w:val="0"/>
      </w:pPr>
      <w:r w:rsidRPr="000D1565">
        <w:rPr>
          <w:u w:val="single"/>
        </w:rPr>
        <w:t>Analysis</w:t>
      </w:r>
      <w:r>
        <w:t>: This process would improve the County EOC awareness of requested resources and improve the prioritization and availability of competing resources. That way, the County EOC</w:t>
      </w:r>
      <w:r w:rsidRPr="000D1565">
        <w:t xml:space="preserve"> can help meet the life safety needs of the incident first.</w:t>
      </w:r>
    </w:p>
    <w:p w:rsidR="000D1565" w:rsidRDefault="003031B8" w:rsidP="003031B8">
      <w:pPr>
        <w:pStyle w:val="ListParagraph"/>
        <w:numPr>
          <w:ilvl w:val="0"/>
          <w:numId w:val="25"/>
        </w:numPr>
        <w:contextualSpacing w:val="0"/>
      </w:pPr>
      <w:r>
        <w:rPr>
          <w:i/>
        </w:rPr>
        <w:t>Area for Improvement 4</w:t>
      </w:r>
      <w:r>
        <w:t xml:space="preserve">: Resources are being tracked in multiple systems </w:t>
      </w:r>
      <w:r w:rsidR="00D20E3B">
        <w:t>which</w:t>
      </w:r>
      <w:r>
        <w:t xml:space="preserve"> create</w:t>
      </w:r>
      <w:r w:rsidR="00D20E3B">
        <w:t>s</w:t>
      </w:r>
      <w:r>
        <w:t xml:space="preserve"> information/situational awareness gaps.</w:t>
      </w:r>
    </w:p>
    <w:p w:rsidR="000D1565" w:rsidRPr="003B6661" w:rsidRDefault="003031B8" w:rsidP="003031B8">
      <w:pPr>
        <w:pStyle w:val="ListParagraph"/>
        <w:numPr>
          <w:ilvl w:val="1"/>
          <w:numId w:val="25"/>
        </w:numPr>
        <w:contextualSpacing w:val="0"/>
      </w:pPr>
      <w:r>
        <w:rPr>
          <w:u w:val="single"/>
        </w:rPr>
        <w:t>Analysis</w:t>
      </w:r>
      <w:r>
        <w:t xml:space="preserve">: With the State Office of Emergency Management (OEM) utilizing the </w:t>
      </w:r>
      <w:proofErr w:type="spellStart"/>
      <w:r>
        <w:rPr>
          <w:i/>
        </w:rPr>
        <w:t>OpsCenter</w:t>
      </w:r>
      <w:proofErr w:type="spellEnd"/>
      <w:r>
        <w:t xml:space="preserve"> system, some counties and cities utilizing </w:t>
      </w:r>
      <w:proofErr w:type="spellStart"/>
      <w:r>
        <w:rPr>
          <w:i/>
        </w:rPr>
        <w:t>WebEOC</w:t>
      </w:r>
      <w:proofErr w:type="spellEnd"/>
      <w:r>
        <w:t xml:space="preserve">, and others using </w:t>
      </w:r>
      <w:r w:rsidRPr="003B6661">
        <w:t>separate systems, this cr</w:t>
      </w:r>
      <w:r w:rsidR="00D20E3B" w:rsidRPr="003B6661">
        <w:t>eates an opportunity for resource</w:t>
      </w:r>
      <w:r w:rsidRPr="003B6661">
        <w:t xml:space="preserve"> information to be missed.</w:t>
      </w:r>
    </w:p>
    <w:p w:rsidR="004330AF" w:rsidRDefault="004330AF" w:rsidP="004330AF">
      <w:pPr>
        <w:pStyle w:val="ListParagraph"/>
        <w:numPr>
          <w:ilvl w:val="0"/>
          <w:numId w:val="25"/>
        </w:numPr>
        <w:contextualSpacing w:val="0"/>
      </w:pPr>
      <w:r w:rsidRPr="003B6661">
        <w:rPr>
          <w:i/>
        </w:rPr>
        <w:t>Area for Improvement 5</w:t>
      </w:r>
      <w:r>
        <w:t>: The process for re-allocating a mobilized resource is not formalized and/or documented.</w:t>
      </w:r>
    </w:p>
    <w:p w:rsidR="004330AF" w:rsidRDefault="004330AF" w:rsidP="004330AF">
      <w:pPr>
        <w:pStyle w:val="ListParagraph"/>
        <w:numPr>
          <w:ilvl w:val="1"/>
          <w:numId w:val="25"/>
        </w:numPr>
        <w:contextualSpacing w:val="0"/>
      </w:pPr>
      <w:r>
        <w:rPr>
          <w:u w:val="single"/>
        </w:rPr>
        <w:t>Analysis</w:t>
      </w:r>
      <w:r w:rsidR="00237B9D">
        <w:t>: At times, resource may be re-assigned during operations from the initial requesting organization. At this time, there is no formalized process for re-allocating a resource from one task to ano</w:t>
      </w:r>
      <w:r w:rsidR="00F336D8">
        <w:t>ther. This process needs to include components such as</w:t>
      </w:r>
      <w:r w:rsidR="00237B9D">
        <w:t xml:space="preserve"> a close-out of the original </w:t>
      </w:r>
      <w:r w:rsidR="00255E27">
        <w:t>resource</w:t>
      </w:r>
      <w:r w:rsidR="00F336D8">
        <w:t xml:space="preserve"> with the original requesting organization (</w:t>
      </w:r>
      <w:r w:rsidR="00F336D8">
        <w:rPr>
          <w:i/>
        </w:rPr>
        <w:t>including all necessary notifications</w:t>
      </w:r>
      <w:r w:rsidR="00F336D8">
        <w:t>), and a new resource request process initiated.</w:t>
      </w:r>
    </w:p>
    <w:p w:rsidR="00E8398E" w:rsidRDefault="00E8398E" w:rsidP="00E8398E">
      <w:pPr>
        <w:pStyle w:val="Heading1"/>
      </w:pPr>
      <w:bookmarkStart w:id="9" w:name="_Toc532976027"/>
      <w:r>
        <w:t>Objective 3</w:t>
      </w:r>
      <w:bookmarkEnd w:id="9"/>
    </w:p>
    <w:p w:rsidR="00E8398E" w:rsidRDefault="00E8398E" w:rsidP="00E8398E">
      <w:pPr>
        <w:pStyle w:val="NoSpacing"/>
        <w:spacing w:after="120"/>
        <w:rPr>
          <w:i/>
        </w:rPr>
      </w:pPr>
      <w:r w:rsidRPr="000677B2">
        <w:rPr>
          <w:i/>
        </w:rPr>
        <w:t xml:space="preserve"> </w:t>
      </w:r>
      <w:r>
        <w:rPr>
          <w:i/>
        </w:rPr>
        <w:t>Identify the financial</w:t>
      </w:r>
      <w:r w:rsidRPr="000677B2">
        <w:rPr>
          <w:i/>
        </w:rPr>
        <w:t xml:space="preserve"> responsibilities of resources requested through the County Emergency Operations Center (EOC).</w:t>
      </w:r>
    </w:p>
    <w:p w:rsidR="00E8398E" w:rsidRDefault="00E8398E" w:rsidP="00E8398E">
      <w:pPr>
        <w:pStyle w:val="NoSpacing"/>
        <w:spacing w:after="120"/>
      </w:pPr>
      <w:r>
        <w:rPr>
          <w:b/>
        </w:rPr>
        <w:t>Core Capability:</w:t>
      </w:r>
      <w:r>
        <w:t xml:space="preserve"> </w:t>
      </w:r>
      <w:r w:rsidRPr="00B232F4">
        <w:t>Operational Coordination,</w:t>
      </w:r>
      <w:r>
        <w:t xml:space="preserve"> </w:t>
      </w:r>
      <w:r w:rsidRPr="009D54E3">
        <w:t>Logistics &amp; Supply Chain Management</w:t>
      </w:r>
    </w:p>
    <w:p w:rsidR="00E8398E" w:rsidRDefault="00E8398E" w:rsidP="00E8398E">
      <w:pPr>
        <w:pStyle w:val="NoSpacing"/>
        <w:spacing w:after="120"/>
        <w:rPr>
          <w:b/>
        </w:rPr>
      </w:pPr>
      <w:r>
        <w:rPr>
          <w:b/>
        </w:rPr>
        <w:t>Strengths</w:t>
      </w:r>
    </w:p>
    <w:p w:rsidR="00E8398E" w:rsidRDefault="00E8398E" w:rsidP="00E8398E">
      <w:pPr>
        <w:pStyle w:val="NoSpacing"/>
        <w:numPr>
          <w:ilvl w:val="0"/>
          <w:numId w:val="25"/>
        </w:numPr>
        <w:spacing w:after="120"/>
      </w:pPr>
      <w:r w:rsidRPr="000D1565">
        <w:rPr>
          <w:i/>
        </w:rPr>
        <w:t>Strength 1</w:t>
      </w:r>
      <w:r w:rsidRPr="000D1565">
        <w:t xml:space="preserve">: All participating organizations agreed upon the </w:t>
      </w:r>
      <w:r>
        <w:t>financial</w:t>
      </w:r>
      <w:r w:rsidRPr="000D1565">
        <w:t xml:space="preserve"> responsibilities of resources from initial request to demobilization and return</w:t>
      </w:r>
      <w:r>
        <w:t>.</w:t>
      </w:r>
    </w:p>
    <w:p w:rsidR="00E8398E" w:rsidRDefault="00E8398E" w:rsidP="00203C9E">
      <w:pPr>
        <w:pStyle w:val="NoSpacing"/>
        <w:numPr>
          <w:ilvl w:val="1"/>
          <w:numId w:val="25"/>
        </w:numPr>
        <w:spacing w:after="120"/>
      </w:pPr>
      <w:r>
        <w:rPr>
          <w:u w:val="single"/>
        </w:rPr>
        <w:t>Analysis</w:t>
      </w:r>
      <w:r>
        <w:t xml:space="preserve">: </w:t>
      </w:r>
      <w:r w:rsidRPr="000D1565">
        <w:t xml:space="preserve">The </w:t>
      </w:r>
      <w:r w:rsidR="001F6646">
        <w:t xml:space="preserve">requestor </w:t>
      </w:r>
      <w:r w:rsidR="00661627">
        <w:t>holds financial responsibility</w:t>
      </w:r>
      <w:r w:rsidR="001F6646">
        <w:t xml:space="preserve"> for the resource</w:t>
      </w:r>
      <w:r w:rsidR="00661627">
        <w:t>,</w:t>
      </w:r>
      <w:r w:rsidRPr="000D1565">
        <w:t xml:space="preserve"> unless </w:t>
      </w:r>
      <w:r w:rsidR="006E639A">
        <w:t>no cost is associated, such as outlined in a mutual aid agreement</w:t>
      </w:r>
      <w:r w:rsidR="00661627">
        <w:t>. If a requestor is unable to</w:t>
      </w:r>
      <w:r w:rsidR="001F6646">
        <w:t xml:space="preserve"> </w:t>
      </w:r>
      <w:r w:rsidRPr="000D1565">
        <w:t>pay</w:t>
      </w:r>
      <w:r w:rsidR="00661627">
        <w:t xml:space="preserve"> for a</w:t>
      </w:r>
      <w:r w:rsidR="001F6646">
        <w:t xml:space="preserve"> resource, they can request financial assistance from the County </w:t>
      </w:r>
      <w:r w:rsidR="001F6646" w:rsidRPr="000D1565">
        <w:t>E</w:t>
      </w:r>
      <w:r w:rsidR="001F6646">
        <w:t>mergency Operations Center (EOC).</w:t>
      </w:r>
      <w:r w:rsidRPr="000D1565">
        <w:t xml:space="preserve"> </w:t>
      </w:r>
      <w:r w:rsidR="001F6646">
        <w:t>T</w:t>
      </w:r>
      <w:r w:rsidRPr="000D1565">
        <w:t xml:space="preserve">he </w:t>
      </w:r>
      <w:r>
        <w:t xml:space="preserve">EOC </w:t>
      </w:r>
      <w:r w:rsidR="00661627">
        <w:t>Manager</w:t>
      </w:r>
      <w:r w:rsidR="00203C9E">
        <w:t xml:space="preserve"> and Operations Section Chief</w:t>
      </w:r>
      <w:r w:rsidR="00661627">
        <w:t xml:space="preserve"> hold the responsibility to determine if the County EOC will take on the financial responsibility (</w:t>
      </w:r>
      <w:r w:rsidR="00661627" w:rsidRPr="00661627">
        <w:rPr>
          <w:i/>
        </w:rPr>
        <w:t>t</w:t>
      </w:r>
      <w:r w:rsidRPr="00661627">
        <w:rPr>
          <w:i/>
        </w:rPr>
        <w:t xml:space="preserve">he County Chair </w:t>
      </w:r>
      <w:r w:rsidR="00661627" w:rsidRPr="00661627">
        <w:rPr>
          <w:i/>
        </w:rPr>
        <w:t>may become involved in this decision, when necessary</w:t>
      </w:r>
      <w:r w:rsidR="00661627">
        <w:t>)</w:t>
      </w:r>
      <w:r w:rsidRPr="000D1565">
        <w:t xml:space="preserve">. </w:t>
      </w:r>
      <w:r w:rsidR="00203C9E">
        <w:t>It is critical for the</w:t>
      </w:r>
      <w:r w:rsidRPr="000D1565">
        <w:t xml:space="preserve"> County EOC</w:t>
      </w:r>
      <w:r w:rsidR="00661627">
        <w:t xml:space="preserve"> staff</w:t>
      </w:r>
      <w:r w:rsidRPr="000D1565">
        <w:t xml:space="preserve"> receiving resource requests (</w:t>
      </w:r>
      <w:r w:rsidR="00066A45">
        <w:rPr>
          <w:i/>
        </w:rPr>
        <w:t xml:space="preserve">likely </w:t>
      </w:r>
      <w:r w:rsidR="00066A45">
        <w:rPr>
          <w:i/>
        </w:rPr>
        <w:lastRenderedPageBreak/>
        <w:t>Operations Section</w:t>
      </w:r>
      <w:r w:rsidRPr="000D1565">
        <w:t>) to find out if the requestor is paying, and if they have exhausted all means necessary</w:t>
      </w:r>
      <w:r w:rsidR="00203C9E">
        <w:t>, before moving to deciding upon County financial assistance</w:t>
      </w:r>
      <w:r w:rsidRPr="000D1565">
        <w:t xml:space="preserve">. </w:t>
      </w:r>
      <w:r w:rsidR="00203C9E">
        <w:t>If a requested resource</w:t>
      </w:r>
      <w:r w:rsidR="00203C9E" w:rsidRPr="00203C9E">
        <w:t xml:space="preserve"> do</w:t>
      </w:r>
      <w:r w:rsidR="00203C9E">
        <w:t>es</w:t>
      </w:r>
      <w:r w:rsidR="00203C9E" w:rsidRPr="00203C9E">
        <w:t xml:space="preserve"> not need to be returned, it is the responsibility of the requestor (</w:t>
      </w:r>
      <w:r w:rsidR="00203C9E" w:rsidRPr="004E016C">
        <w:rPr>
          <w:i/>
        </w:rPr>
        <w:t>or the County if they paid for it</w:t>
      </w:r>
      <w:r w:rsidR="00203C9E" w:rsidRPr="00203C9E">
        <w:t>) to either keep or ot</w:t>
      </w:r>
      <w:r w:rsidR="00E63603">
        <w:t>herwise find use for/dispose of the resource.</w:t>
      </w:r>
    </w:p>
    <w:p w:rsidR="00203C9E" w:rsidRDefault="00203C9E" w:rsidP="00E8398E">
      <w:pPr>
        <w:pStyle w:val="NoSpacing"/>
        <w:spacing w:after="120"/>
        <w:ind w:left="1170"/>
      </w:pPr>
      <w:r>
        <w:t>P</w:t>
      </w:r>
      <w:r w:rsidR="00E8398E" w:rsidRPr="000D1565">
        <w:t>a</w:t>
      </w:r>
      <w:r w:rsidR="00E8398E">
        <w:t>y</w:t>
      </w:r>
      <w:r w:rsidR="00E63603">
        <w:t>ment for organization/EOC</w:t>
      </w:r>
      <w:r>
        <w:t xml:space="preserve"> staff in a</w:t>
      </w:r>
      <w:r w:rsidR="00E8398E">
        <w:t xml:space="preserve"> </w:t>
      </w:r>
      <w:r w:rsidR="00E8398E" w:rsidRPr="000D1565">
        <w:t>Unified Command</w:t>
      </w:r>
      <w:r w:rsidR="00E8398E">
        <w:t xml:space="preserve"> </w:t>
      </w:r>
      <w:r>
        <w:t>remains with the individual organizations</w:t>
      </w:r>
      <w:r w:rsidR="00E8398E" w:rsidRPr="000D1565">
        <w:t xml:space="preserve">. </w:t>
      </w:r>
    </w:p>
    <w:p w:rsidR="00B232F4" w:rsidRDefault="00DB1274" w:rsidP="00DB1274">
      <w:pPr>
        <w:pStyle w:val="Heading1"/>
      </w:pPr>
      <w:bookmarkStart w:id="10" w:name="_Toc532976028"/>
      <w:r>
        <w:t>Additional Comments</w:t>
      </w:r>
      <w:bookmarkEnd w:id="10"/>
      <w:r>
        <w:t xml:space="preserve"> </w:t>
      </w:r>
    </w:p>
    <w:p w:rsidR="00B232F4" w:rsidRPr="00B232F4" w:rsidRDefault="00DB1274" w:rsidP="00B232F4">
      <w:pPr>
        <w:pStyle w:val="NoSpacing"/>
        <w:numPr>
          <w:ilvl w:val="0"/>
          <w:numId w:val="25"/>
        </w:numPr>
        <w:spacing w:after="120"/>
        <w:rPr>
          <w:b/>
        </w:rPr>
      </w:pPr>
      <w:r>
        <w:rPr>
          <w:i/>
        </w:rPr>
        <w:t>Area f</w:t>
      </w:r>
      <w:r w:rsidR="00B232F4">
        <w:rPr>
          <w:i/>
        </w:rPr>
        <w:t>or Improvement</w:t>
      </w:r>
      <w:r w:rsidR="00B232F4">
        <w:t xml:space="preserve"> </w:t>
      </w:r>
      <w:r w:rsidR="00B232F4">
        <w:rPr>
          <w:i/>
        </w:rPr>
        <w:t>1</w:t>
      </w:r>
      <w:r w:rsidR="00B232F4">
        <w:t xml:space="preserve">: The process for Special Districts to request resources is still unclear between County </w:t>
      </w:r>
      <w:r w:rsidR="00A51D6A">
        <w:t>and</w:t>
      </w:r>
      <w:r w:rsidR="00B232F4">
        <w:t xml:space="preserve"> City Operations Centers.</w:t>
      </w:r>
    </w:p>
    <w:p w:rsidR="00B232F4" w:rsidRPr="003031B8" w:rsidRDefault="00B232F4" w:rsidP="00DB1274">
      <w:pPr>
        <w:pStyle w:val="NoSpacing"/>
        <w:numPr>
          <w:ilvl w:val="1"/>
          <w:numId w:val="25"/>
        </w:numPr>
        <w:spacing w:after="120"/>
        <w:rPr>
          <w:b/>
        </w:rPr>
      </w:pPr>
      <w:r>
        <w:rPr>
          <w:u w:val="single"/>
        </w:rPr>
        <w:t>Analysis</w:t>
      </w:r>
      <w:r>
        <w:t xml:space="preserve">: </w:t>
      </w:r>
      <w:r w:rsidR="00DB1274" w:rsidRPr="00DB1274">
        <w:t>P</w:t>
      </w:r>
      <w:r w:rsidR="00DB1274">
        <w:t xml:space="preserve">ortland Bureau of </w:t>
      </w:r>
      <w:r w:rsidR="00DB1274" w:rsidRPr="00DB1274">
        <w:t>E</w:t>
      </w:r>
      <w:r w:rsidR="00DB1274">
        <w:t xml:space="preserve">mergency </w:t>
      </w:r>
      <w:r w:rsidR="00DB1274" w:rsidRPr="00DB1274">
        <w:t>M</w:t>
      </w:r>
      <w:r w:rsidR="00DB1274">
        <w:t>anagement</w:t>
      </w:r>
      <w:r w:rsidR="00DB1274" w:rsidRPr="00DB1274">
        <w:t xml:space="preserve"> and </w:t>
      </w:r>
      <w:r w:rsidR="00DB1274">
        <w:t xml:space="preserve">County Emergency Management </w:t>
      </w:r>
      <w:r w:rsidR="00DB1274" w:rsidRPr="00DB1274">
        <w:t xml:space="preserve">have been discussing who will take </w:t>
      </w:r>
      <w:r w:rsidR="00DB1274">
        <w:t xml:space="preserve">Special District </w:t>
      </w:r>
      <w:r w:rsidR="00DB1274" w:rsidRPr="00DB1274">
        <w:t>requests</w:t>
      </w:r>
      <w:r w:rsidR="00DB1274">
        <w:t>.</w:t>
      </w:r>
      <w:r w:rsidR="00DB1274" w:rsidRPr="00DB1274">
        <w:t xml:space="preserve"> </w:t>
      </w:r>
      <w:r w:rsidR="00DB1274">
        <w:t>T</w:t>
      </w:r>
      <w:r w:rsidR="00DB1274" w:rsidRPr="00DB1274">
        <w:t>he current understanding is that M</w:t>
      </w:r>
      <w:r w:rsidR="00DB1274">
        <w:t>ultnomah County Emergency Management/</w:t>
      </w:r>
      <w:r w:rsidR="00DB1274" w:rsidRPr="00DB1274">
        <w:t>County EOC will take them</w:t>
      </w:r>
      <w:r w:rsidR="00C31250">
        <w:t>.</w:t>
      </w:r>
    </w:p>
    <w:p w:rsidR="003031B8" w:rsidRDefault="003031B8" w:rsidP="003031B8">
      <w:pPr>
        <w:pStyle w:val="NoSpacing"/>
        <w:numPr>
          <w:ilvl w:val="0"/>
          <w:numId w:val="25"/>
        </w:numPr>
        <w:spacing w:after="120"/>
      </w:pPr>
      <w:r w:rsidRPr="003031B8">
        <w:rPr>
          <w:i/>
        </w:rPr>
        <w:t>Area for Improvement 2</w:t>
      </w:r>
      <w:r w:rsidRPr="003031B8">
        <w:t xml:space="preserve">: </w:t>
      </w:r>
      <w:r w:rsidR="00585B09">
        <w:t>Many of the processes identified in these discussion were agreed upon, but are not written down.</w:t>
      </w:r>
    </w:p>
    <w:p w:rsidR="00585B09" w:rsidRDefault="00585B09" w:rsidP="00585B09">
      <w:pPr>
        <w:pStyle w:val="NoSpacing"/>
        <w:numPr>
          <w:ilvl w:val="1"/>
          <w:numId w:val="25"/>
        </w:numPr>
        <w:spacing w:after="120"/>
      </w:pPr>
      <w:r>
        <w:rPr>
          <w:u w:val="single"/>
        </w:rPr>
        <w:t>Analysis</w:t>
      </w:r>
      <w:r>
        <w:t>: The participating organizations agreed upon the logistical and financial responsibilities of partners when requesting resources. Although this is progress, these processes are not written down and only remain knowledge of those in attendance at the exercise. These processes should be formalized.</w:t>
      </w:r>
    </w:p>
    <w:p w:rsidR="00901F18" w:rsidRPr="00901F18" w:rsidRDefault="00901F18" w:rsidP="00901F18">
      <w:pPr>
        <w:pStyle w:val="NoSpacing"/>
        <w:spacing w:after="120"/>
        <w:ind w:left="1170"/>
      </w:pPr>
      <w:r>
        <w:t>There was additional conversation about the importance of identifying response processes that are currently not written down internal to each organization. The current staff may be aware of the processes, however if they are not available the processes need to be available.</w:t>
      </w:r>
    </w:p>
    <w:p w:rsidR="00C31250" w:rsidRDefault="00C31250" w:rsidP="00B232F4">
      <w:pPr>
        <w:pStyle w:val="NoSpacing"/>
        <w:numPr>
          <w:ilvl w:val="0"/>
          <w:numId w:val="25"/>
        </w:numPr>
        <w:spacing w:after="120"/>
      </w:pPr>
      <w:r w:rsidRPr="00C31250">
        <w:rPr>
          <w:i/>
        </w:rPr>
        <w:t xml:space="preserve">Area for Improvement </w:t>
      </w:r>
      <w:r w:rsidR="003031B8">
        <w:rPr>
          <w:i/>
        </w:rPr>
        <w:t>3</w:t>
      </w:r>
      <w:r>
        <w:t xml:space="preserve">: The County Office of Emergency Management team are the only individuals with </w:t>
      </w:r>
      <w:r w:rsidR="004906C0">
        <w:t xml:space="preserve">unaccompanied </w:t>
      </w:r>
      <w:r>
        <w:t>access the Em</w:t>
      </w:r>
      <w:r w:rsidR="004906C0">
        <w:t xml:space="preserve">ergency Operations Center (EOC) </w:t>
      </w:r>
      <w:r w:rsidR="00F336D8">
        <w:t>at the current Juvenile Justice Center location</w:t>
      </w:r>
      <w:r w:rsidR="004906C0">
        <w:t>.</w:t>
      </w:r>
    </w:p>
    <w:p w:rsidR="00332B22" w:rsidRPr="002042E2" w:rsidRDefault="00C31250" w:rsidP="00332B22">
      <w:pPr>
        <w:pStyle w:val="NoSpacing"/>
        <w:numPr>
          <w:ilvl w:val="1"/>
          <w:numId w:val="25"/>
        </w:numPr>
        <w:spacing w:after="120"/>
        <w:sectPr w:rsidR="00332B22" w:rsidRPr="002042E2" w:rsidSect="00E0511C">
          <w:headerReference w:type="default" r:id="rId10"/>
          <w:footerReference w:type="default" r:id="rId11"/>
          <w:headerReference w:type="first" r:id="rId12"/>
          <w:footerReference w:type="first" r:id="rId13"/>
          <w:type w:val="continuous"/>
          <w:pgSz w:w="12240" w:h="15840"/>
          <w:pgMar w:top="1440" w:right="1440" w:bottom="1440" w:left="1440" w:header="720" w:footer="720" w:gutter="0"/>
          <w:pgNumType w:start="0"/>
          <w:cols w:space="720"/>
          <w:titlePg/>
          <w:docGrid w:linePitch="326"/>
        </w:sectPr>
      </w:pPr>
      <w:r w:rsidRPr="00C31250">
        <w:rPr>
          <w:u w:val="single"/>
        </w:rPr>
        <w:t>Anal</w:t>
      </w:r>
      <w:r>
        <w:rPr>
          <w:u w:val="single"/>
        </w:rPr>
        <w:t>y</w:t>
      </w:r>
      <w:r w:rsidRPr="00C31250">
        <w:rPr>
          <w:u w:val="single"/>
        </w:rPr>
        <w:t>sis</w:t>
      </w:r>
      <w:r w:rsidRPr="00C31250">
        <w:t>:</w:t>
      </w:r>
      <w:r w:rsidRPr="00C31250">
        <w:rPr>
          <w:i/>
        </w:rPr>
        <w:t xml:space="preserve"> </w:t>
      </w:r>
      <w:r w:rsidR="0015484F">
        <w:t>Participating</w:t>
      </w:r>
      <w:r>
        <w:t xml:space="preserve"> County staff did not have access to the Emergency Operations Center (EOC)</w:t>
      </w:r>
      <w:r w:rsidR="0015484F">
        <w:t>. The Office of Emergency Management should be identifying who has access to this site so operations can more easily be accessible.</w:t>
      </w:r>
    </w:p>
    <w:p w:rsidR="00332B22" w:rsidRPr="0045022D" w:rsidRDefault="00332B22" w:rsidP="0045022D">
      <w:pPr>
        <w:pStyle w:val="ListParagraph"/>
        <w:numPr>
          <w:ilvl w:val="0"/>
          <w:numId w:val="25"/>
        </w:numPr>
        <w:contextualSpacing w:val="0"/>
      </w:pPr>
      <w:r w:rsidRPr="00332B22">
        <w:rPr>
          <w:i/>
        </w:rPr>
        <w:t>Area for Improvement 4</w:t>
      </w:r>
      <w:r>
        <w:t xml:space="preserve">: </w:t>
      </w:r>
      <w:r w:rsidR="0045022D" w:rsidRPr="0045022D">
        <w:t>County partner organizations need more information and awareness regarding the process and documentation for submitting resource requests to the county Emergency Operations Center (EOC).</w:t>
      </w:r>
    </w:p>
    <w:p w:rsidR="008E5A4D" w:rsidRDefault="00332B22" w:rsidP="004330AF">
      <w:pPr>
        <w:pStyle w:val="ListParagraph"/>
        <w:numPr>
          <w:ilvl w:val="1"/>
          <w:numId w:val="25"/>
        </w:numPr>
        <w:ind w:left="1166"/>
        <w:contextualSpacing w:val="0"/>
      </w:pPr>
      <w:r w:rsidRPr="00332B22">
        <w:rPr>
          <w:u w:val="single"/>
        </w:rPr>
        <w:t>Analysis</w:t>
      </w:r>
      <w:r>
        <w:t>: Organizations who submit resource requests through the County Emergency Operations Center (EOC) would benefit from a resource request submission training. Content such as d</w:t>
      </w:r>
      <w:r w:rsidRPr="00332B22">
        <w:t>etailing the form instruction</w:t>
      </w:r>
      <w:r>
        <w:t>s and going through a good example would be beneficial.  A subsequent exercise to test this process would also be helpful.</w:t>
      </w:r>
    </w:p>
    <w:p w:rsidR="00B132FB" w:rsidRDefault="00B132FB" w:rsidP="00B132FB"/>
    <w:p w:rsidR="004330AF" w:rsidRDefault="004330AF" w:rsidP="0045022D">
      <w:pPr>
        <w:pStyle w:val="ListParagraph"/>
        <w:numPr>
          <w:ilvl w:val="0"/>
          <w:numId w:val="25"/>
        </w:numPr>
        <w:ind w:left="547"/>
        <w:contextualSpacing w:val="0"/>
      </w:pPr>
      <w:r w:rsidRPr="003B6661">
        <w:rPr>
          <w:i/>
        </w:rPr>
        <w:lastRenderedPageBreak/>
        <w:t>Area for Improvement 5</w:t>
      </w:r>
      <w:r w:rsidRPr="003B6661">
        <w:t>:</w:t>
      </w:r>
      <w:r>
        <w:t xml:space="preserve"> </w:t>
      </w:r>
      <w:r w:rsidRPr="004330AF">
        <w:t>If the</w:t>
      </w:r>
      <w:r>
        <w:t xml:space="preserve"> county provides and pay</w:t>
      </w:r>
      <w:r w:rsidR="00F336D8">
        <w:t>s</w:t>
      </w:r>
      <w:r>
        <w:t xml:space="preserve"> for re</w:t>
      </w:r>
      <w:r w:rsidRPr="004330AF">
        <w:t>s</w:t>
      </w:r>
      <w:r>
        <w:t>o</w:t>
      </w:r>
      <w:r w:rsidRPr="004330AF">
        <w:t>urce</w:t>
      </w:r>
      <w:r>
        <w:t>s</w:t>
      </w:r>
      <w:r w:rsidRPr="004330AF">
        <w:t xml:space="preserve"> to a partner organization without a formal agreement in place, the county </w:t>
      </w:r>
      <w:r w:rsidR="0045022D">
        <w:t>cannot be</w:t>
      </w:r>
      <w:r w:rsidRPr="004330AF">
        <w:t xml:space="preserve"> reimbursed by the Federal government in a declared disaster.</w:t>
      </w:r>
    </w:p>
    <w:p w:rsidR="0045022D" w:rsidRDefault="0045022D" w:rsidP="00F336D8">
      <w:pPr>
        <w:pStyle w:val="ListParagraph"/>
        <w:numPr>
          <w:ilvl w:val="1"/>
          <w:numId w:val="25"/>
        </w:numPr>
        <w:contextualSpacing w:val="0"/>
      </w:pPr>
      <w:r w:rsidRPr="0045022D">
        <w:rPr>
          <w:u w:val="single"/>
        </w:rPr>
        <w:t>Analysis</w:t>
      </w:r>
      <w:r>
        <w:t xml:space="preserve">: </w:t>
      </w:r>
      <w:r w:rsidR="00F336D8">
        <w:t>It was identified that without formal agreements in place regarding resource payment, it would be difficult for the county, and its partners, to receive reimbursement from the Federal government following a disaster declaration. County partners will need to determine what type of agreements are necessary/feasible.</w:t>
      </w:r>
    </w:p>
    <w:p w:rsidR="00F336D8" w:rsidRPr="004330AF" w:rsidRDefault="00F336D8" w:rsidP="00F336D8">
      <w:pPr>
        <w:pStyle w:val="ListParagraph"/>
        <w:ind w:left="1170"/>
        <w:contextualSpacing w:val="0"/>
        <w:sectPr w:rsidR="00F336D8" w:rsidRPr="004330AF" w:rsidSect="00EB3A63">
          <w:headerReference w:type="default" r:id="rId14"/>
          <w:footerReference w:type="default" r:id="rId15"/>
          <w:type w:val="continuous"/>
          <w:pgSz w:w="12240" w:h="15840"/>
          <w:pgMar w:top="1440" w:right="1440" w:bottom="1440" w:left="1440" w:header="720" w:footer="720" w:gutter="0"/>
          <w:cols w:space="720"/>
          <w:docGrid w:linePitch="326"/>
        </w:sectPr>
      </w:pPr>
      <w:r>
        <w:t xml:space="preserve">The regional </w:t>
      </w:r>
      <w:r w:rsidRPr="00F336D8">
        <w:rPr>
          <w:i/>
        </w:rPr>
        <w:t>Omnibus Agreement</w:t>
      </w:r>
      <w:r>
        <w:t xml:space="preserve"> was discussed as a current agreement that could meet this need.</w:t>
      </w:r>
    </w:p>
    <w:p w:rsidR="008E5A4D" w:rsidRPr="002042E2" w:rsidRDefault="008E5A4D" w:rsidP="008E5A4D">
      <w:pPr>
        <w:pStyle w:val="NoSpacing"/>
        <w:numPr>
          <w:ilvl w:val="1"/>
          <w:numId w:val="25"/>
        </w:numPr>
        <w:spacing w:after="120"/>
        <w:sectPr w:rsidR="008E5A4D" w:rsidRPr="002042E2" w:rsidSect="002042E2">
          <w:headerReference w:type="default" r:id="rId16"/>
          <w:footerReference w:type="default" r:id="rId17"/>
          <w:headerReference w:type="first" r:id="rId18"/>
          <w:footerReference w:type="first" r:id="rId19"/>
          <w:type w:val="continuous"/>
          <w:pgSz w:w="12240" w:h="15840"/>
          <w:pgMar w:top="1440" w:right="1440" w:bottom="1440" w:left="1440" w:header="720" w:footer="720" w:gutter="0"/>
          <w:cols w:space="720"/>
          <w:titlePg/>
          <w:docGrid w:linePitch="326"/>
        </w:sectPr>
      </w:pPr>
    </w:p>
    <w:p w:rsidR="003638AE" w:rsidRDefault="00E33622" w:rsidP="007B2093">
      <w:pPr>
        <w:pStyle w:val="Heading1"/>
      </w:pPr>
      <w:bookmarkStart w:id="11" w:name="_lnxbz9" w:colFirst="0" w:colLast="0"/>
      <w:bookmarkStart w:id="12" w:name="_Toc532976029"/>
      <w:bookmarkEnd w:id="11"/>
      <w:r w:rsidRPr="007B2093">
        <w:lastRenderedPageBreak/>
        <w:t>Appendix A: Exercise Schedule</w:t>
      </w:r>
      <w:bookmarkEnd w:id="12"/>
    </w:p>
    <w:tbl>
      <w:tblPr>
        <w:tblStyle w:val="TableGrid"/>
        <w:tblW w:w="0" w:type="auto"/>
        <w:tblLook w:val="04A0" w:firstRow="1" w:lastRow="0" w:firstColumn="1" w:lastColumn="0" w:noHBand="0" w:noVBand="1"/>
      </w:tblPr>
      <w:tblGrid>
        <w:gridCol w:w="1615"/>
        <w:gridCol w:w="7735"/>
      </w:tblGrid>
      <w:tr w:rsidR="005A023E" w:rsidTr="00A51D6A">
        <w:trPr>
          <w:trHeight w:val="432"/>
        </w:trPr>
        <w:tc>
          <w:tcPr>
            <w:tcW w:w="1615" w:type="dxa"/>
            <w:tcBorders>
              <w:left w:val="single" w:sz="4" w:space="0" w:color="auto"/>
              <w:bottom w:val="single" w:sz="4" w:space="0" w:color="auto"/>
            </w:tcBorders>
            <w:shd w:val="clear" w:color="auto" w:fill="D9D9D9" w:themeFill="background1" w:themeFillShade="D9"/>
            <w:vAlign w:val="center"/>
          </w:tcPr>
          <w:p w:rsidR="005A023E" w:rsidRPr="00A51D6A" w:rsidRDefault="005A023E" w:rsidP="005A023E">
            <w:pPr>
              <w:jc w:val="center"/>
              <w:rPr>
                <w:i/>
              </w:rPr>
            </w:pPr>
            <w:r w:rsidRPr="00A51D6A">
              <w:rPr>
                <w:i/>
              </w:rPr>
              <w:t>Time</w:t>
            </w:r>
          </w:p>
        </w:tc>
        <w:tc>
          <w:tcPr>
            <w:tcW w:w="7735" w:type="dxa"/>
            <w:tcBorders>
              <w:bottom w:val="single" w:sz="4" w:space="0" w:color="auto"/>
              <w:right w:val="single" w:sz="4" w:space="0" w:color="auto"/>
            </w:tcBorders>
            <w:shd w:val="clear" w:color="auto" w:fill="D9D9D9" w:themeFill="background1" w:themeFillShade="D9"/>
            <w:vAlign w:val="center"/>
          </w:tcPr>
          <w:p w:rsidR="005A023E" w:rsidRPr="00A51D6A" w:rsidRDefault="005A023E" w:rsidP="005A023E">
            <w:pPr>
              <w:jc w:val="center"/>
              <w:rPr>
                <w:i/>
              </w:rPr>
            </w:pPr>
            <w:r w:rsidRPr="00A51D6A">
              <w:rPr>
                <w:i/>
              </w:rPr>
              <w:t>Exercise Component</w:t>
            </w:r>
          </w:p>
        </w:tc>
      </w:tr>
      <w:tr w:rsidR="005A023E" w:rsidTr="00A51D6A">
        <w:trPr>
          <w:trHeight w:val="432"/>
        </w:trPr>
        <w:tc>
          <w:tcPr>
            <w:tcW w:w="1615" w:type="dxa"/>
            <w:tcBorders>
              <w:left w:val="single" w:sz="4" w:space="0" w:color="auto"/>
              <w:bottom w:val="single" w:sz="4" w:space="0" w:color="auto"/>
            </w:tcBorders>
            <w:vAlign w:val="center"/>
          </w:tcPr>
          <w:p w:rsidR="005A023E" w:rsidRDefault="000677B2" w:rsidP="005A023E">
            <w:pPr>
              <w:jc w:val="center"/>
            </w:pPr>
            <w:r>
              <w:t>0900 – 0940</w:t>
            </w:r>
          </w:p>
        </w:tc>
        <w:tc>
          <w:tcPr>
            <w:tcW w:w="7735" w:type="dxa"/>
            <w:tcBorders>
              <w:bottom w:val="single" w:sz="4" w:space="0" w:color="auto"/>
              <w:right w:val="single" w:sz="4" w:space="0" w:color="auto"/>
            </w:tcBorders>
            <w:vAlign w:val="center"/>
          </w:tcPr>
          <w:p w:rsidR="005A023E" w:rsidRDefault="000677B2" w:rsidP="005A023E">
            <w:r>
              <w:t xml:space="preserve">County </w:t>
            </w:r>
            <w:proofErr w:type="spellStart"/>
            <w:r w:rsidRPr="00D0443A">
              <w:rPr>
                <w:i/>
              </w:rPr>
              <w:t>OpsCenter</w:t>
            </w:r>
            <w:proofErr w:type="spellEnd"/>
            <w:r>
              <w:t xml:space="preserve"> Submission Drill</w:t>
            </w:r>
          </w:p>
        </w:tc>
      </w:tr>
      <w:tr w:rsidR="005A023E" w:rsidTr="00A51D6A">
        <w:trPr>
          <w:trHeight w:val="432"/>
        </w:trPr>
        <w:tc>
          <w:tcPr>
            <w:tcW w:w="1615" w:type="dxa"/>
            <w:tcBorders>
              <w:left w:val="single" w:sz="4" w:space="0" w:color="auto"/>
              <w:bottom w:val="single" w:sz="4" w:space="0" w:color="auto"/>
            </w:tcBorders>
            <w:vAlign w:val="center"/>
          </w:tcPr>
          <w:p w:rsidR="005A023E" w:rsidRDefault="000677B2" w:rsidP="005A023E">
            <w:pPr>
              <w:jc w:val="center"/>
            </w:pPr>
            <w:r>
              <w:t>0930</w:t>
            </w:r>
          </w:p>
        </w:tc>
        <w:tc>
          <w:tcPr>
            <w:tcW w:w="7735" w:type="dxa"/>
            <w:tcBorders>
              <w:bottom w:val="single" w:sz="4" w:space="0" w:color="auto"/>
              <w:right w:val="single" w:sz="4" w:space="0" w:color="auto"/>
            </w:tcBorders>
            <w:vAlign w:val="center"/>
          </w:tcPr>
          <w:p w:rsidR="005A023E" w:rsidRPr="004615A0" w:rsidRDefault="000677B2" w:rsidP="005A023E">
            <w:r>
              <w:t>Non-County Staff Arrival Time</w:t>
            </w:r>
          </w:p>
        </w:tc>
      </w:tr>
      <w:tr w:rsidR="005A023E" w:rsidTr="00A51D6A">
        <w:trPr>
          <w:trHeight w:val="432"/>
        </w:trPr>
        <w:tc>
          <w:tcPr>
            <w:tcW w:w="1615" w:type="dxa"/>
            <w:tcBorders>
              <w:left w:val="single" w:sz="4" w:space="0" w:color="auto"/>
              <w:bottom w:val="single" w:sz="4" w:space="0" w:color="auto"/>
            </w:tcBorders>
            <w:vAlign w:val="center"/>
          </w:tcPr>
          <w:p w:rsidR="005A023E" w:rsidRDefault="000677B2" w:rsidP="005A023E">
            <w:pPr>
              <w:jc w:val="center"/>
            </w:pPr>
            <w:r>
              <w:t>0940 – 0945</w:t>
            </w:r>
          </w:p>
        </w:tc>
        <w:tc>
          <w:tcPr>
            <w:tcW w:w="7735" w:type="dxa"/>
            <w:tcBorders>
              <w:bottom w:val="single" w:sz="4" w:space="0" w:color="auto"/>
              <w:right w:val="single" w:sz="4" w:space="0" w:color="auto"/>
            </w:tcBorders>
            <w:vAlign w:val="center"/>
          </w:tcPr>
          <w:p w:rsidR="005A023E" w:rsidRPr="00C41659" w:rsidRDefault="000677B2" w:rsidP="00C41659">
            <w:r>
              <w:t>Exercise Introduction</w:t>
            </w:r>
          </w:p>
        </w:tc>
      </w:tr>
      <w:tr w:rsidR="005A023E" w:rsidTr="00A51D6A">
        <w:trPr>
          <w:trHeight w:val="432"/>
        </w:trPr>
        <w:tc>
          <w:tcPr>
            <w:tcW w:w="1615" w:type="dxa"/>
            <w:tcBorders>
              <w:left w:val="single" w:sz="4" w:space="0" w:color="auto"/>
              <w:bottom w:val="single" w:sz="4" w:space="0" w:color="auto"/>
            </w:tcBorders>
            <w:vAlign w:val="center"/>
          </w:tcPr>
          <w:p w:rsidR="005A023E" w:rsidRDefault="000677B2" w:rsidP="005A023E">
            <w:pPr>
              <w:jc w:val="center"/>
            </w:pPr>
            <w:r>
              <w:t>0945 – 1115</w:t>
            </w:r>
          </w:p>
        </w:tc>
        <w:tc>
          <w:tcPr>
            <w:tcW w:w="7735" w:type="dxa"/>
            <w:tcBorders>
              <w:bottom w:val="single" w:sz="4" w:space="0" w:color="auto"/>
              <w:right w:val="single" w:sz="4" w:space="0" w:color="auto"/>
            </w:tcBorders>
            <w:vAlign w:val="center"/>
          </w:tcPr>
          <w:p w:rsidR="005A023E" w:rsidRDefault="000677B2" w:rsidP="005A023E">
            <w:r>
              <w:t xml:space="preserve">Tabletop Exercise </w:t>
            </w:r>
          </w:p>
        </w:tc>
      </w:tr>
      <w:tr w:rsidR="005A023E" w:rsidTr="00A51D6A">
        <w:trPr>
          <w:trHeight w:val="432"/>
        </w:trPr>
        <w:tc>
          <w:tcPr>
            <w:tcW w:w="1615" w:type="dxa"/>
            <w:tcBorders>
              <w:left w:val="single" w:sz="4" w:space="0" w:color="auto"/>
              <w:bottom w:val="single" w:sz="4" w:space="0" w:color="auto"/>
            </w:tcBorders>
            <w:vAlign w:val="center"/>
          </w:tcPr>
          <w:p w:rsidR="005A023E" w:rsidRDefault="000677B2" w:rsidP="005A023E">
            <w:pPr>
              <w:jc w:val="center"/>
            </w:pPr>
            <w:r>
              <w:t>1115 – 1130</w:t>
            </w:r>
          </w:p>
        </w:tc>
        <w:tc>
          <w:tcPr>
            <w:tcW w:w="7735" w:type="dxa"/>
            <w:tcBorders>
              <w:bottom w:val="single" w:sz="4" w:space="0" w:color="auto"/>
              <w:right w:val="single" w:sz="4" w:space="0" w:color="auto"/>
            </w:tcBorders>
            <w:vAlign w:val="center"/>
          </w:tcPr>
          <w:p w:rsidR="005A023E" w:rsidRDefault="000677B2" w:rsidP="005A023E">
            <w:r>
              <w:t>Hot Wash</w:t>
            </w:r>
          </w:p>
        </w:tc>
      </w:tr>
    </w:tbl>
    <w:p w:rsidR="00F67D4A" w:rsidRPr="00DC714E" w:rsidRDefault="00794889" w:rsidP="000677B2">
      <w:pPr>
        <w:spacing w:before="120"/>
        <w:jc w:val="center"/>
        <w:rPr>
          <w:b/>
          <w:i/>
        </w:rPr>
      </w:pPr>
      <w:r w:rsidRPr="00DC714E">
        <w:rPr>
          <w:b/>
          <w:i/>
        </w:rPr>
        <w:t>Table 2. Exercise Schedule</w:t>
      </w:r>
    </w:p>
    <w:p w:rsidR="003638AE" w:rsidRPr="007B2093" w:rsidRDefault="00E33622" w:rsidP="007B2093">
      <w:pPr>
        <w:pStyle w:val="Heading1"/>
      </w:pPr>
      <w:bookmarkStart w:id="13" w:name="_Toc532976030"/>
      <w:r w:rsidRPr="007B2093">
        <w:t>Appendix B: Exercise Participants</w:t>
      </w:r>
      <w:bookmarkEnd w:id="13"/>
    </w:p>
    <w:tbl>
      <w:tblPr>
        <w:tblStyle w:val="TableGrid"/>
        <w:tblW w:w="0" w:type="auto"/>
        <w:tblInd w:w="-5" w:type="dxa"/>
        <w:tblLook w:val="04A0" w:firstRow="1" w:lastRow="0" w:firstColumn="1" w:lastColumn="0" w:noHBand="0" w:noVBand="1"/>
      </w:tblPr>
      <w:tblGrid>
        <w:gridCol w:w="9350"/>
      </w:tblGrid>
      <w:tr w:rsidR="004D6FCA" w:rsidTr="00C41659">
        <w:trPr>
          <w:trHeight w:val="432"/>
        </w:trPr>
        <w:tc>
          <w:tcPr>
            <w:tcW w:w="9350" w:type="dxa"/>
            <w:shd w:val="clear" w:color="auto" w:fill="D9D9D9" w:themeFill="background1" w:themeFillShade="D9"/>
            <w:vAlign w:val="center"/>
          </w:tcPr>
          <w:p w:rsidR="004D6FCA" w:rsidRPr="00B23DD3" w:rsidRDefault="004D6FCA" w:rsidP="004D6FCA">
            <w:pPr>
              <w:tabs>
                <w:tab w:val="left" w:pos="5163"/>
              </w:tabs>
              <w:rPr>
                <w:i/>
              </w:rPr>
            </w:pPr>
            <w:r w:rsidRPr="00B23DD3">
              <w:rPr>
                <w:i/>
              </w:rPr>
              <w:t xml:space="preserve">County  </w:t>
            </w:r>
          </w:p>
        </w:tc>
      </w:tr>
      <w:tr w:rsidR="00FF7AC4" w:rsidTr="00C41659">
        <w:trPr>
          <w:trHeight w:val="432"/>
        </w:trPr>
        <w:tc>
          <w:tcPr>
            <w:tcW w:w="9350" w:type="dxa"/>
            <w:vAlign w:val="center"/>
          </w:tcPr>
          <w:p w:rsidR="00FF7AC4" w:rsidRPr="004D6FCA" w:rsidRDefault="00FF7AC4" w:rsidP="00FF7AC4">
            <w:pPr>
              <w:pBdr>
                <w:top w:val="nil"/>
                <w:left w:val="nil"/>
                <w:bottom w:val="nil"/>
                <w:right w:val="nil"/>
                <w:between w:val="nil"/>
              </w:pBdr>
              <w:rPr>
                <w:rFonts w:eastAsia="Arial"/>
                <w:color w:val="000000"/>
                <w:szCs w:val="20"/>
              </w:rPr>
            </w:pPr>
            <w:r w:rsidRPr="004D6FCA">
              <w:rPr>
                <w:rFonts w:eastAsia="Arial"/>
                <w:color w:val="000000"/>
                <w:szCs w:val="20"/>
              </w:rPr>
              <w:t>Multnomah County Office of Emergency Management (MCEM)</w:t>
            </w:r>
          </w:p>
        </w:tc>
      </w:tr>
      <w:tr w:rsidR="00FF7AC4" w:rsidTr="00C41659">
        <w:trPr>
          <w:trHeight w:val="432"/>
        </w:trPr>
        <w:tc>
          <w:tcPr>
            <w:tcW w:w="9350" w:type="dxa"/>
            <w:vAlign w:val="center"/>
          </w:tcPr>
          <w:p w:rsidR="00FF7AC4" w:rsidRPr="004D6FCA" w:rsidRDefault="00FF7AC4" w:rsidP="00C41659">
            <w:pPr>
              <w:pBdr>
                <w:top w:val="nil"/>
                <w:left w:val="nil"/>
                <w:bottom w:val="nil"/>
                <w:right w:val="nil"/>
                <w:between w:val="nil"/>
              </w:pBdr>
              <w:rPr>
                <w:rFonts w:eastAsia="Arial"/>
                <w:color w:val="000000"/>
                <w:szCs w:val="20"/>
              </w:rPr>
            </w:pPr>
            <w:r w:rsidRPr="004D6FCA">
              <w:rPr>
                <w:rFonts w:eastAsia="Arial"/>
                <w:color w:val="000000"/>
                <w:szCs w:val="20"/>
              </w:rPr>
              <w:t>Multnomah County Sheriff’s Office (MCSO)</w:t>
            </w:r>
            <w:r w:rsidR="00E4755C">
              <w:rPr>
                <w:rFonts w:eastAsia="Arial"/>
                <w:color w:val="000000"/>
                <w:szCs w:val="20"/>
              </w:rPr>
              <w:t xml:space="preserve"> </w:t>
            </w:r>
          </w:p>
        </w:tc>
      </w:tr>
      <w:tr w:rsidR="00D53953" w:rsidTr="00C41659">
        <w:trPr>
          <w:trHeight w:val="432"/>
        </w:trPr>
        <w:tc>
          <w:tcPr>
            <w:tcW w:w="9350" w:type="dxa"/>
            <w:vAlign w:val="center"/>
          </w:tcPr>
          <w:p w:rsidR="00D53953" w:rsidRPr="00E02505" w:rsidRDefault="00D53953" w:rsidP="00C41659">
            <w:pPr>
              <w:pBdr>
                <w:top w:val="nil"/>
                <w:left w:val="nil"/>
                <w:bottom w:val="nil"/>
                <w:right w:val="nil"/>
                <w:between w:val="nil"/>
              </w:pBdr>
              <w:rPr>
                <w:rFonts w:eastAsia="Arial"/>
                <w:szCs w:val="20"/>
              </w:rPr>
            </w:pPr>
            <w:r w:rsidRPr="00E02505">
              <w:rPr>
                <w:rFonts w:eastAsia="Arial"/>
                <w:szCs w:val="20"/>
              </w:rPr>
              <w:t>Multnomah County Department of Community Services (DCS)</w:t>
            </w:r>
          </w:p>
        </w:tc>
      </w:tr>
      <w:tr w:rsidR="00C41659" w:rsidTr="00C41659">
        <w:trPr>
          <w:trHeight w:val="432"/>
        </w:trPr>
        <w:tc>
          <w:tcPr>
            <w:tcW w:w="9350" w:type="dxa"/>
            <w:vAlign w:val="center"/>
          </w:tcPr>
          <w:p w:rsidR="00C41659" w:rsidRDefault="004615A0" w:rsidP="004615A0">
            <w:pPr>
              <w:pBdr>
                <w:top w:val="nil"/>
                <w:left w:val="nil"/>
                <w:bottom w:val="nil"/>
                <w:right w:val="nil"/>
                <w:between w:val="nil"/>
              </w:pBdr>
              <w:rPr>
                <w:rFonts w:eastAsia="Arial"/>
                <w:color w:val="000000"/>
                <w:szCs w:val="20"/>
              </w:rPr>
            </w:pPr>
            <w:r>
              <w:rPr>
                <w:rFonts w:eastAsia="Arial"/>
                <w:color w:val="000000"/>
                <w:szCs w:val="20"/>
              </w:rPr>
              <w:t xml:space="preserve">County </w:t>
            </w:r>
            <w:r w:rsidR="00C41659">
              <w:rPr>
                <w:rFonts w:eastAsia="Arial"/>
                <w:color w:val="000000"/>
                <w:szCs w:val="20"/>
              </w:rPr>
              <w:t xml:space="preserve">Emergency Operations Center </w:t>
            </w:r>
            <w:r>
              <w:rPr>
                <w:rFonts w:eastAsia="Arial"/>
                <w:color w:val="000000"/>
                <w:szCs w:val="20"/>
              </w:rPr>
              <w:t xml:space="preserve">(EOC) </w:t>
            </w:r>
          </w:p>
        </w:tc>
      </w:tr>
      <w:tr w:rsidR="004615A0" w:rsidTr="00C41659">
        <w:trPr>
          <w:trHeight w:val="432"/>
        </w:trPr>
        <w:tc>
          <w:tcPr>
            <w:tcW w:w="9350" w:type="dxa"/>
            <w:vAlign w:val="center"/>
          </w:tcPr>
          <w:p w:rsidR="004615A0" w:rsidRPr="004615A0" w:rsidRDefault="004615A0" w:rsidP="004615A0">
            <w:pPr>
              <w:pStyle w:val="ListParagraph"/>
              <w:numPr>
                <w:ilvl w:val="0"/>
                <w:numId w:val="27"/>
              </w:numPr>
              <w:pBdr>
                <w:top w:val="nil"/>
                <w:left w:val="nil"/>
                <w:bottom w:val="nil"/>
                <w:right w:val="nil"/>
                <w:between w:val="nil"/>
              </w:pBdr>
              <w:rPr>
                <w:rFonts w:eastAsia="Arial"/>
                <w:color w:val="000000"/>
                <w:szCs w:val="20"/>
              </w:rPr>
            </w:pPr>
            <w:r>
              <w:rPr>
                <w:rFonts w:eastAsia="Arial"/>
                <w:color w:val="000000"/>
                <w:szCs w:val="20"/>
              </w:rPr>
              <w:t>Operations Section</w:t>
            </w:r>
          </w:p>
        </w:tc>
      </w:tr>
      <w:tr w:rsidR="00FF7AC4" w:rsidTr="00C41659">
        <w:trPr>
          <w:trHeight w:val="432"/>
        </w:trPr>
        <w:tc>
          <w:tcPr>
            <w:tcW w:w="9350" w:type="dxa"/>
            <w:vAlign w:val="center"/>
          </w:tcPr>
          <w:p w:rsidR="00FF7AC4" w:rsidRPr="004615A0" w:rsidRDefault="00FF7AC4" w:rsidP="004615A0">
            <w:pPr>
              <w:pStyle w:val="ListParagraph"/>
              <w:numPr>
                <w:ilvl w:val="0"/>
                <w:numId w:val="27"/>
              </w:numPr>
              <w:pBdr>
                <w:top w:val="nil"/>
                <w:left w:val="nil"/>
                <w:bottom w:val="nil"/>
                <w:right w:val="nil"/>
                <w:between w:val="nil"/>
              </w:pBdr>
              <w:rPr>
                <w:rFonts w:eastAsia="Arial"/>
                <w:color w:val="000000"/>
                <w:szCs w:val="20"/>
              </w:rPr>
            </w:pPr>
            <w:r w:rsidRPr="004615A0">
              <w:rPr>
                <w:rFonts w:eastAsia="Arial"/>
                <w:color w:val="000000"/>
                <w:szCs w:val="20"/>
              </w:rPr>
              <w:t>Logistics Section</w:t>
            </w:r>
          </w:p>
        </w:tc>
      </w:tr>
      <w:tr w:rsidR="00FF7AC4" w:rsidTr="00C41659">
        <w:trPr>
          <w:trHeight w:val="432"/>
        </w:trPr>
        <w:tc>
          <w:tcPr>
            <w:tcW w:w="9350" w:type="dxa"/>
            <w:vAlign w:val="center"/>
          </w:tcPr>
          <w:p w:rsidR="00FF7AC4" w:rsidRPr="004615A0" w:rsidRDefault="00FF7AC4" w:rsidP="004615A0">
            <w:pPr>
              <w:pStyle w:val="ListParagraph"/>
              <w:numPr>
                <w:ilvl w:val="0"/>
                <w:numId w:val="27"/>
              </w:numPr>
              <w:pBdr>
                <w:top w:val="nil"/>
                <w:left w:val="nil"/>
                <w:bottom w:val="nil"/>
                <w:right w:val="nil"/>
                <w:between w:val="nil"/>
              </w:pBdr>
              <w:rPr>
                <w:rFonts w:eastAsia="Arial"/>
                <w:color w:val="000000"/>
                <w:szCs w:val="20"/>
              </w:rPr>
            </w:pPr>
            <w:r w:rsidRPr="004615A0">
              <w:rPr>
                <w:rFonts w:eastAsia="Arial"/>
                <w:color w:val="000000"/>
                <w:szCs w:val="20"/>
              </w:rPr>
              <w:t>Finance/Administrative Section</w:t>
            </w:r>
          </w:p>
        </w:tc>
      </w:tr>
      <w:tr w:rsidR="004D6FCA" w:rsidTr="00C41659">
        <w:trPr>
          <w:trHeight w:val="432"/>
        </w:trPr>
        <w:tc>
          <w:tcPr>
            <w:tcW w:w="9350" w:type="dxa"/>
            <w:shd w:val="clear" w:color="auto" w:fill="D9D9D9" w:themeFill="background1" w:themeFillShade="D9"/>
            <w:vAlign w:val="center"/>
          </w:tcPr>
          <w:p w:rsidR="004D6FCA" w:rsidRPr="00B23DD3" w:rsidRDefault="000677B2" w:rsidP="004D6FCA">
            <w:pPr>
              <w:tabs>
                <w:tab w:val="left" w:pos="5163"/>
              </w:tabs>
              <w:rPr>
                <w:i/>
              </w:rPr>
            </w:pPr>
            <w:r w:rsidRPr="00B23DD3">
              <w:rPr>
                <w:i/>
              </w:rPr>
              <w:t>County-Wide Partners</w:t>
            </w:r>
          </w:p>
        </w:tc>
      </w:tr>
      <w:tr w:rsidR="004D6FCA" w:rsidTr="00C41659">
        <w:trPr>
          <w:trHeight w:val="432"/>
        </w:trPr>
        <w:tc>
          <w:tcPr>
            <w:tcW w:w="9350" w:type="dxa"/>
            <w:vAlign w:val="center"/>
          </w:tcPr>
          <w:p w:rsidR="004D6FCA" w:rsidRDefault="00C81D0B" w:rsidP="004D6FCA">
            <w:pPr>
              <w:tabs>
                <w:tab w:val="left" w:pos="5163"/>
              </w:tabs>
            </w:pPr>
            <w:r>
              <w:t>Portland Bureau of Emergency Management (PBEM)</w:t>
            </w:r>
          </w:p>
        </w:tc>
      </w:tr>
      <w:tr w:rsidR="00E02505" w:rsidTr="00C41659">
        <w:trPr>
          <w:trHeight w:val="432"/>
        </w:trPr>
        <w:tc>
          <w:tcPr>
            <w:tcW w:w="9350" w:type="dxa"/>
            <w:vAlign w:val="center"/>
          </w:tcPr>
          <w:p w:rsidR="00E02505" w:rsidRDefault="000677B2" w:rsidP="004D6FCA">
            <w:pPr>
              <w:tabs>
                <w:tab w:val="left" w:pos="5163"/>
              </w:tabs>
            </w:pPr>
            <w:r>
              <w:t>City of Gresham Emergency Management</w:t>
            </w:r>
          </w:p>
        </w:tc>
      </w:tr>
      <w:tr w:rsidR="000677B2" w:rsidTr="00C41659">
        <w:trPr>
          <w:trHeight w:val="432"/>
        </w:trPr>
        <w:tc>
          <w:tcPr>
            <w:tcW w:w="9350" w:type="dxa"/>
            <w:vAlign w:val="center"/>
          </w:tcPr>
          <w:p w:rsidR="000677B2" w:rsidRDefault="000677B2" w:rsidP="004D6FCA">
            <w:pPr>
              <w:tabs>
                <w:tab w:val="left" w:pos="5163"/>
              </w:tabs>
            </w:pPr>
            <w:r>
              <w:t>Multnomah County Drainage District (MCDD)</w:t>
            </w:r>
          </w:p>
        </w:tc>
      </w:tr>
      <w:tr w:rsidR="000677B2" w:rsidTr="00C41659">
        <w:trPr>
          <w:trHeight w:val="432"/>
        </w:trPr>
        <w:tc>
          <w:tcPr>
            <w:tcW w:w="9350" w:type="dxa"/>
            <w:vAlign w:val="center"/>
          </w:tcPr>
          <w:p w:rsidR="000677B2" w:rsidRDefault="000677B2" w:rsidP="004D6FCA">
            <w:pPr>
              <w:tabs>
                <w:tab w:val="left" w:pos="5163"/>
              </w:tabs>
            </w:pPr>
            <w:r>
              <w:t>Multnomah University</w:t>
            </w:r>
          </w:p>
        </w:tc>
      </w:tr>
      <w:tr w:rsidR="000677B2" w:rsidTr="00C41659">
        <w:trPr>
          <w:trHeight w:val="432"/>
        </w:trPr>
        <w:tc>
          <w:tcPr>
            <w:tcW w:w="9350" w:type="dxa"/>
            <w:vAlign w:val="center"/>
          </w:tcPr>
          <w:p w:rsidR="000677B2" w:rsidRDefault="000677B2" w:rsidP="004D6FCA">
            <w:pPr>
              <w:tabs>
                <w:tab w:val="left" w:pos="5163"/>
              </w:tabs>
            </w:pPr>
            <w:r>
              <w:t>Portland Community College (PCC)</w:t>
            </w:r>
          </w:p>
        </w:tc>
      </w:tr>
    </w:tbl>
    <w:p w:rsidR="006975F1" w:rsidRPr="00DC714E" w:rsidRDefault="001D5A4F" w:rsidP="001D5A4F">
      <w:pPr>
        <w:tabs>
          <w:tab w:val="left" w:pos="5163"/>
        </w:tabs>
        <w:spacing w:before="120"/>
        <w:jc w:val="center"/>
        <w:rPr>
          <w:b/>
        </w:rPr>
      </w:pPr>
      <w:r w:rsidRPr="00DC714E">
        <w:rPr>
          <w:b/>
          <w:i/>
        </w:rPr>
        <w:t>Table 3. Exercise Participant</w:t>
      </w:r>
    </w:p>
    <w:p w:rsidR="008E5A4D" w:rsidRDefault="008E5A4D" w:rsidP="006975F1">
      <w:pPr>
        <w:sectPr w:rsidR="008E5A4D" w:rsidSect="006975F1">
          <w:headerReference w:type="default" r:id="rId20"/>
          <w:footerReference w:type="default" r:id="rId21"/>
          <w:pgSz w:w="12240" w:h="15840"/>
          <w:pgMar w:top="1440" w:right="1440" w:bottom="1440" w:left="1440" w:header="720" w:footer="720" w:gutter="0"/>
          <w:cols w:space="720"/>
          <w:docGrid w:linePitch="326"/>
        </w:sectPr>
      </w:pPr>
      <w:r>
        <w:br w:type="page"/>
      </w:r>
    </w:p>
    <w:p w:rsidR="006975F1" w:rsidRDefault="00501706" w:rsidP="00501706">
      <w:pPr>
        <w:pStyle w:val="Heading1"/>
      </w:pPr>
      <w:bookmarkStart w:id="14" w:name="_Toc532976031"/>
      <w:r>
        <w:lastRenderedPageBreak/>
        <w:t>Appendix C: Improvement Plan</w:t>
      </w:r>
      <w:bookmarkEnd w:id="14"/>
    </w:p>
    <w:tbl>
      <w:tblPr>
        <w:tblStyle w:val="TableGrid"/>
        <w:tblW w:w="5000" w:type="pct"/>
        <w:tblLook w:val="04A0" w:firstRow="1" w:lastRow="0" w:firstColumn="1" w:lastColumn="0" w:noHBand="0" w:noVBand="1"/>
      </w:tblPr>
      <w:tblGrid>
        <w:gridCol w:w="1885"/>
        <w:gridCol w:w="2844"/>
        <w:gridCol w:w="3095"/>
        <w:gridCol w:w="1839"/>
        <w:gridCol w:w="3287"/>
      </w:tblGrid>
      <w:tr w:rsidR="002D0D15" w:rsidTr="00831335">
        <w:trPr>
          <w:trHeight w:val="576"/>
        </w:trPr>
        <w:tc>
          <w:tcPr>
            <w:tcW w:w="728" w:type="pct"/>
            <w:shd w:val="clear" w:color="auto" w:fill="D9D9D9" w:themeFill="background1" w:themeFillShade="D9"/>
            <w:vAlign w:val="center"/>
          </w:tcPr>
          <w:p w:rsidR="002D0D15" w:rsidRPr="002D0D15" w:rsidRDefault="002D0D15" w:rsidP="00FA5507">
            <w:pPr>
              <w:jc w:val="center"/>
              <w:rPr>
                <w:b/>
              </w:rPr>
            </w:pPr>
            <w:r w:rsidRPr="002D0D15">
              <w:rPr>
                <w:b/>
              </w:rPr>
              <w:t>Objective</w:t>
            </w:r>
          </w:p>
        </w:tc>
        <w:tc>
          <w:tcPr>
            <w:tcW w:w="1098" w:type="pct"/>
            <w:shd w:val="clear" w:color="auto" w:fill="D9D9D9" w:themeFill="background1" w:themeFillShade="D9"/>
            <w:vAlign w:val="center"/>
          </w:tcPr>
          <w:p w:rsidR="002D0D15" w:rsidRPr="002D0D15" w:rsidRDefault="002D0D15" w:rsidP="00FA5507">
            <w:pPr>
              <w:jc w:val="center"/>
              <w:rPr>
                <w:b/>
              </w:rPr>
            </w:pPr>
            <w:r w:rsidRPr="002D0D15">
              <w:rPr>
                <w:b/>
              </w:rPr>
              <w:t>Issue/Area for Improvement</w:t>
            </w:r>
          </w:p>
        </w:tc>
        <w:tc>
          <w:tcPr>
            <w:tcW w:w="1195" w:type="pct"/>
            <w:shd w:val="clear" w:color="auto" w:fill="D9D9D9" w:themeFill="background1" w:themeFillShade="D9"/>
            <w:vAlign w:val="center"/>
          </w:tcPr>
          <w:p w:rsidR="002D0D15" w:rsidRPr="002D0D15" w:rsidRDefault="002D0D15" w:rsidP="00FA5507">
            <w:pPr>
              <w:jc w:val="center"/>
              <w:rPr>
                <w:b/>
              </w:rPr>
            </w:pPr>
            <w:r w:rsidRPr="002D0D15">
              <w:rPr>
                <w:b/>
              </w:rPr>
              <w:t>Corrective action</w:t>
            </w:r>
          </w:p>
        </w:tc>
        <w:tc>
          <w:tcPr>
            <w:tcW w:w="710" w:type="pct"/>
            <w:shd w:val="clear" w:color="auto" w:fill="D9D9D9" w:themeFill="background1" w:themeFillShade="D9"/>
            <w:vAlign w:val="center"/>
          </w:tcPr>
          <w:p w:rsidR="002D0D15" w:rsidRPr="002D0D15" w:rsidRDefault="002D0D15" w:rsidP="00FA5507">
            <w:pPr>
              <w:jc w:val="center"/>
              <w:rPr>
                <w:b/>
              </w:rPr>
            </w:pPr>
            <w:r w:rsidRPr="002D0D15">
              <w:rPr>
                <w:b/>
              </w:rPr>
              <w:t>Capability Element</w:t>
            </w:r>
          </w:p>
        </w:tc>
        <w:tc>
          <w:tcPr>
            <w:tcW w:w="1269" w:type="pct"/>
            <w:shd w:val="clear" w:color="auto" w:fill="D9D9D9" w:themeFill="background1" w:themeFillShade="D9"/>
            <w:vAlign w:val="center"/>
          </w:tcPr>
          <w:p w:rsidR="002D0D15" w:rsidRPr="002D0D15" w:rsidRDefault="002D0D15" w:rsidP="00FA5507">
            <w:pPr>
              <w:jc w:val="center"/>
              <w:rPr>
                <w:b/>
              </w:rPr>
            </w:pPr>
            <w:r w:rsidRPr="002D0D15">
              <w:rPr>
                <w:b/>
              </w:rPr>
              <w:t>Primary Responsible Organization</w:t>
            </w:r>
          </w:p>
        </w:tc>
      </w:tr>
      <w:tr w:rsidR="00522A23" w:rsidTr="00831335">
        <w:trPr>
          <w:cantSplit/>
          <w:trHeight w:val="1152"/>
        </w:trPr>
        <w:tc>
          <w:tcPr>
            <w:tcW w:w="728" w:type="pct"/>
            <w:vMerge w:val="restart"/>
            <w:textDirection w:val="btLr"/>
            <w:vAlign w:val="center"/>
          </w:tcPr>
          <w:p w:rsidR="00522A23" w:rsidRPr="00E8398E" w:rsidRDefault="00522A23" w:rsidP="00E8398E">
            <w:pPr>
              <w:ind w:left="113" w:right="113"/>
              <w:jc w:val="center"/>
              <w:rPr>
                <w:sz w:val="20"/>
              </w:rPr>
            </w:pPr>
            <w:r w:rsidRPr="00E8398E">
              <w:rPr>
                <w:sz w:val="20"/>
              </w:rPr>
              <w:t>Complete the process of submitting a resource request to the Oregon Emergency Management to align with the County Resource Request Form</w:t>
            </w:r>
          </w:p>
        </w:tc>
        <w:tc>
          <w:tcPr>
            <w:tcW w:w="1098" w:type="pct"/>
            <w:vAlign w:val="center"/>
          </w:tcPr>
          <w:p w:rsidR="00522A23" w:rsidRPr="00E8398E" w:rsidRDefault="00522A23" w:rsidP="00DC714E">
            <w:pPr>
              <w:rPr>
                <w:sz w:val="20"/>
              </w:rPr>
            </w:pPr>
            <w:r w:rsidRPr="00E8398E">
              <w:rPr>
                <w:sz w:val="20"/>
              </w:rPr>
              <w:t xml:space="preserve">There was no guidance for County Emergency Operations Center (EOC) staff for </w:t>
            </w:r>
            <w:proofErr w:type="spellStart"/>
            <w:r w:rsidRPr="00E8398E">
              <w:rPr>
                <w:i/>
                <w:sz w:val="20"/>
              </w:rPr>
              <w:t>OpsCenter</w:t>
            </w:r>
            <w:proofErr w:type="spellEnd"/>
            <w:r w:rsidRPr="00E8398E">
              <w:rPr>
                <w:sz w:val="20"/>
              </w:rPr>
              <w:t xml:space="preserve"> content inclusion</w:t>
            </w:r>
            <w:r>
              <w:rPr>
                <w:sz w:val="20"/>
              </w:rPr>
              <w:t>.</w:t>
            </w:r>
          </w:p>
        </w:tc>
        <w:tc>
          <w:tcPr>
            <w:tcW w:w="1195" w:type="pct"/>
            <w:vAlign w:val="center"/>
          </w:tcPr>
          <w:p w:rsidR="00522A23" w:rsidRPr="004906C0" w:rsidRDefault="00522A23" w:rsidP="00DC714E">
            <w:pPr>
              <w:rPr>
                <w:b/>
                <w:i/>
                <w:sz w:val="20"/>
              </w:rPr>
            </w:pPr>
          </w:p>
        </w:tc>
        <w:tc>
          <w:tcPr>
            <w:tcW w:w="710" w:type="pct"/>
            <w:vAlign w:val="center"/>
          </w:tcPr>
          <w:p w:rsidR="00522A23" w:rsidRPr="00831335" w:rsidRDefault="00522A23" w:rsidP="00DC714E">
            <w:pPr>
              <w:rPr>
                <w:sz w:val="20"/>
              </w:rPr>
            </w:pPr>
            <w:r w:rsidRPr="00831335">
              <w:rPr>
                <w:sz w:val="20"/>
              </w:rPr>
              <w:t>Planning</w:t>
            </w:r>
          </w:p>
        </w:tc>
        <w:tc>
          <w:tcPr>
            <w:tcW w:w="1269" w:type="pct"/>
            <w:vAlign w:val="center"/>
          </w:tcPr>
          <w:p w:rsidR="00522A23" w:rsidRPr="00831335" w:rsidRDefault="00522A23" w:rsidP="004906C0">
            <w:pPr>
              <w:rPr>
                <w:sz w:val="20"/>
              </w:rPr>
            </w:pPr>
            <w:r>
              <w:rPr>
                <w:sz w:val="20"/>
              </w:rPr>
              <w:t xml:space="preserve">MCEM – Operations </w:t>
            </w:r>
          </w:p>
        </w:tc>
      </w:tr>
      <w:tr w:rsidR="00522A23" w:rsidTr="00831335">
        <w:trPr>
          <w:trHeight w:val="1728"/>
        </w:trPr>
        <w:tc>
          <w:tcPr>
            <w:tcW w:w="728" w:type="pct"/>
            <w:vMerge/>
            <w:vAlign w:val="center"/>
          </w:tcPr>
          <w:p w:rsidR="00522A23" w:rsidRPr="00E8398E" w:rsidRDefault="00522A23" w:rsidP="00DC714E">
            <w:pPr>
              <w:rPr>
                <w:sz w:val="20"/>
              </w:rPr>
            </w:pPr>
          </w:p>
        </w:tc>
        <w:tc>
          <w:tcPr>
            <w:tcW w:w="1098" w:type="pct"/>
            <w:vAlign w:val="center"/>
          </w:tcPr>
          <w:p w:rsidR="00522A23" w:rsidRPr="00E8398E" w:rsidRDefault="00522A23" w:rsidP="00DC714E">
            <w:pPr>
              <w:rPr>
                <w:sz w:val="20"/>
              </w:rPr>
            </w:pPr>
            <w:r w:rsidRPr="00E8398E">
              <w:rPr>
                <w:sz w:val="20"/>
              </w:rPr>
              <w:t xml:space="preserve">Adjustments to the </w:t>
            </w:r>
            <w:proofErr w:type="spellStart"/>
            <w:r w:rsidRPr="00831335">
              <w:rPr>
                <w:i/>
                <w:sz w:val="20"/>
              </w:rPr>
              <w:t>OpsCenter</w:t>
            </w:r>
            <w:proofErr w:type="spellEnd"/>
            <w:r w:rsidRPr="00831335">
              <w:rPr>
                <w:i/>
                <w:sz w:val="20"/>
              </w:rPr>
              <w:t xml:space="preserve"> </w:t>
            </w:r>
            <w:r w:rsidRPr="00E8398E">
              <w:rPr>
                <w:sz w:val="20"/>
              </w:rPr>
              <w:t>request were not clearly visible to the County Emergency Operations Center (EOC) staff making it difficult to know what actions were being taken by the State</w:t>
            </w:r>
          </w:p>
        </w:tc>
        <w:tc>
          <w:tcPr>
            <w:tcW w:w="1195" w:type="pct"/>
            <w:vAlign w:val="center"/>
          </w:tcPr>
          <w:p w:rsidR="00522A23" w:rsidRPr="00831335" w:rsidRDefault="00522A23" w:rsidP="00DC714E">
            <w:pPr>
              <w:rPr>
                <w:sz w:val="20"/>
              </w:rPr>
            </w:pPr>
          </w:p>
        </w:tc>
        <w:tc>
          <w:tcPr>
            <w:tcW w:w="710" w:type="pct"/>
            <w:vAlign w:val="center"/>
          </w:tcPr>
          <w:p w:rsidR="00522A23" w:rsidRPr="00831335" w:rsidRDefault="00522A23" w:rsidP="00DC714E">
            <w:pPr>
              <w:rPr>
                <w:sz w:val="20"/>
              </w:rPr>
            </w:pPr>
            <w:r w:rsidRPr="00831335">
              <w:rPr>
                <w:sz w:val="20"/>
              </w:rPr>
              <w:t>Planning</w:t>
            </w:r>
          </w:p>
        </w:tc>
        <w:tc>
          <w:tcPr>
            <w:tcW w:w="1269" w:type="pct"/>
            <w:vAlign w:val="center"/>
          </w:tcPr>
          <w:p w:rsidR="00522A23" w:rsidRPr="00831335" w:rsidRDefault="00522A23" w:rsidP="00DC714E">
            <w:pPr>
              <w:rPr>
                <w:sz w:val="20"/>
              </w:rPr>
            </w:pPr>
            <w:r>
              <w:rPr>
                <w:sz w:val="20"/>
              </w:rPr>
              <w:t>MCEM, Logistics Section</w:t>
            </w:r>
          </w:p>
        </w:tc>
      </w:tr>
      <w:tr w:rsidR="00522A23" w:rsidTr="00522A23">
        <w:trPr>
          <w:trHeight w:val="864"/>
        </w:trPr>
        <w:tc>
          <w:tcPr>
            <w:tcW w:w="728" w:type="pct"/>
            <w:vMerge/>
            <w:vAlign w:val="center"/>
          </w:tcPr>
          <w:p w:rsidR="00522A23" w:rsidRPr="00E8398E" w:rsidRDefault="00522A23" w:rsidP="00DC714E">
            <w:pPr>
              <w:rPr>
                <w:sz w:val="20"/>
              </w:rPr>
            </w:pPr>
          </w:p>
        </w:tc>
        <w:tc>
          <w:tcPr>
            <w:tcW w:w="1098" w:type="pct"/>
            <w:vAlign w:val="center"/>
          </w:tcPr>
          <w:p w:rsidR="00522A23" w:rsidRPr="00E8398E" w:rsidRDefault="00522A23" w:rsidP="00DC714E">
            <w:pPr>
              <w:rPr>
                <w:sz w:val="20"/>
              </w:rPr>
            </w:pPr>
            <w:r w:rsidRPr="00522A23">
              <w:rPr>
                <w:sz w:val="20"/>
              </w:rPr>
              <w:t>It is unclear how resource requests that cannot be fulfilled will be handled.</w:t>
            </w:r>
          </w:p>
        </w:tc>
        <w:tc>
          <w:tcPr>
            <w:tcW w:w="1195" w:type="pct"/>
            <w:vAlign w:val="center"/>
          </w:tcPr>
          <w:p w:rsidR="00522A23" w:rsidRPr="00831335" w:rsidRDefault="00522A23" w:rsidP="00DC714E">
            <w:pPr>
              <w:rPr>
                <w:sz w:val="20"/>
              </w:rPr>
            </w:pPr>
          </w:p>
        </w:tc>
        <w:tc>
          <w:tcPr>
            <w:tcW w:w="710" w:type="pct"/>
            <w:vAlign w:val="center"/>
          </w:tcPr>
          <w:p w:rsidR="00522A23" w:rsidRPr="00831335" w:rsidRDefault="00522A23" w:rsidP="00DC714E">
            <w:pPr>
              <w:rPr>
                <w:sz w:val="20"/>
              </w:rPr>
            </w:pPr>
            <w:r>
              <w:rPr>
                <w:sz w:val="20"/>
              </w:rPr>
              <w:t>Planning</w:t>
            </w:r>
          </w:p>
        </w:tc>
        <w:tc>
          <w:tcPr>
            <w:tcW w:w="1269" w:type="pct"/>
            <w:vAlign w:val="center"/>
          </w:tcPr>
          <w:p w:rsidR="00522A23" w:rsidRDefault="00522A23" w:rsidP="00DC714E">
            <w:pPr>
              <w:rPr>
                <w:sz w:val="20"/>
              </w:rPr>
            </w:pPr>
            <w:r>
              <w:rPr>
                <w:sz w:val="20"/>
              </w:rPr>
              <w:t xml:space="preserve">MCEM, Logistics Section </w:t>
            </w:r>
          </w:p>
        </w:tc>
      </w:tr>
      <w:tr w:rsidR="00E8398E" w:rsidTr="00831335">
        <w:trPr>
          <w:cantSplit/>
          <w:trHeight w:val="1440"/>
        </w:trPr>
        <w:tc>
          <w:tcPr>
            <w:tcW w:w="728" w:type="pct"/>
            <w:vMerge w:val="restart"/>
            <w:textDirection w:val="btLr"/>
            <w:vAlign w:val="center"/>
          </w:tcPr>
          <w:p w:rsidR="00E8398E" w:rsidRPr="00E8398E" w:rsidRDefault="00E8398E" w:rsidP="00E8398E">
            <w:pPr>
              <w:ind w:left="113" w:right="113"/>
              <w:jc w:val="center"/>
              <w:rPr>
                <w:sz w:val="20"/>
              </w:rPr>
            </w:pPr>
            <w:r w:rsidRPr="00E8398E">
              <w:rPr>
                <w:sz w:val="20"/>
              </w:rPr>
              <w:t>Identify the logistical responsibilities of resources requested through the County Emergency Operations Center (EOC).</w:t>
            </w:r>
          </w:p>
        </w:tc>
        <w:tc>
          <w:tcPr>
            <w:tcW w:w="1098" w:type="pct"/>
            <w:vAlign w:val="center"/>
          </w:tcPr>
          <w:p w:rsidR="00E8398E" w:rsidRPr="005D0C9E" w:rsidRDefault="00E8398E" w:rsidP="001A2819">
            <w:pPr>
              <w:rPr>
                <w:b/>
                <w:i/>
                <w:sz w:val="20"/>
              </w:rPr>
            </w:pPr>
            <w:r w:rsidRPr="00E8398E">
              <w:rPr>
                <w:sz w:val="20"/>
              </w:rPr>
              <w:t>Identifying authorized resource requests from individuals or organizations that are not familiar to the County Emergency Operations Center (EOC).</w:t>
            </w:r>
          </w:p>
        </w:tc>
        <w:tc>
          <w:tcPr>
            <w:tcW w:w="1195" w:type="pct"/>
            <w:vAlign w:val="center"/>
          </w:tcPr>
          <w:p w:rsidR="00E8398E" w:rsidRPr="00831335" w:rsidRDefault="00E8398E" w:rsidP="00DC714E">
            <w:pPr>
              <w:rPr>
                <w:sz w:val="20"/>
              </w:rPr>
            </w:pPr>
          </w:p>
        </w:tc>
        <w:tc>
          <w:tcPr>
            <w:tcW w:w="710" w:type="pct"/>
            <w:vAlign w:val="center"/>
          </w:tcPr>
          <w:p w:rsidR="00E8398E" w:rsidRPr="00831335" w:rsidRDefault="00831335" w:rsidP="00DC714E">
            <w:pPr>
              <w:rPr>
                <w:sz w:val="20"/>
              </w:rPr>
            </w:pPr>
            <w:r w:rsidRPr="00831335">
              <w:rPr>
                <w:sz w:val="20"/>
              </w:rPr>
              <w:t>Planning</w:t>
            </w:r>
          </w:p>
        </w:tc>
        <w:tc>
          <w:tcPr>
            <w:tcW w:w="1269" w:type="pct"/>
            <w:vAlign w:val="center"/>
          </w:tcPr>
          <w:p w:rsidR="00E8398E" w:rsidRPr="00831335" w:rsidRDefault="004906C0" w:rsidP="00DC714E">
            <w:pPr>
              <w:rPr>
                <w:sz w:val="20"/>
              </w:rPr>
            </w:pPr>
            <w:r>
              <w:rPr>
                <w:sz w:val="20"/>
              </w:rPr>
              <w:t>MCEM, Cities/Unincorporated Areas &amp; Special Districts</w:t>
            </w:r>
          </w:p>
        </w:tc>
      </w:tr>
      <w:tr w:rsidR="00E8398E" w:rsidTr="00831335">
        <w:trPr>
          <w:trHeight w:val="1008"/>
        </w:trPr>
        <w:tc>
          <w:tcPr>
            <w:tcW w:w="728" w:type="pct"/>
            <w:vMerge/>
            <w:vAlign w:val="center"/>
          </w:tcPr>
          <w:p w:rsidR="00E8398E" w:rsidRPr="00E8398E" w:rsidRDefault="00E8398E" w:rsidP="00DC714E">
            <w:pPr>
              <w:rPr>
                <w:sz w:val="20"/>
              </w:rPr>
            </w:pPr>
          </w:p>
        </w:tc>
        <w:tc>
          <w:tcPr>
            <w:tcW w:w="1098" w:type="pct"/>
            <w:vAlign w:val="center"/>
          </w:tcPr>
          <w:p w:rsidR="00E8398E" w:rsidRPr="00E8398E" w:rsidRDefault="00E8398E" w:rsidP="00DC714E">
            <w:pPr>
              <w:rPr>
                <w:sz w:val="20"/>
              </w:rPr>
            </w:pPr>
            <w:r w:rsidRPr="00E8398E">
              <w:rPr>
                <w:sz w:val="20"/>
              </w:rPr>
              <w:t xml:space="preserve">It was discovered that a system is needed to notify County Emergency Operations Center </w:t>
            </w:r>
            <w:r w:rsidR="00EE7F08">
              <w:rPr>
                <w:sz w:val="20"/>
              </w:rPr>
              <w:t xml:space="preserve"> (EOC) </w:t>
            </w:r>
            <w:r w:rsidRPr="00E8398E">
              <w:rPr>
                <w:sz w:val="20"/>
              </w:rPr>
              <w:t>that an asset has arrived on scene</w:t>
            </w:r>
          </w:p>
        </w:tc>
        <w:tc>
          <w:tcPr>
            <w:tcW w:w="1195" w:type="pct"/>
            <w:vAlign w:val="center"/>
          </w:tcPr>
          <w:p w:rsidR="00E8398E" w:rsidRPr="00831335" w:rsidRDefault="00E8398E" w:rsidP="00DC714E">
            <w:pPr>
              <w:rPr>
                <w:sz w:val="20"/>
              </w:rPr>
            </w:pPr>
          </w:p>
        </w:tc>
        <w:tc>
          <w:tcPr>
            <w:tcW w:w="710" w:type="pct"/>
            <w:vAlign w:val="center"/>
          </w:tcPr>
          <w:p w:rsidR="00E8398E" w:rsidRPr="00831335" w:rsidRDefault="00831335" w:rsidP="00DC714E">
            <w:pPr>
              <w:rPr>
                <w:sz w:val="20"/>
              </w:rPr>
            </w:pPr>
            <w:r w:rsidRPr="00831335">
              <w:rPr>
                <w:sz w:val="20"/>
              </w:rPr>
              <w:t>Planning</w:t>
            </w:r>
          </w:p>
        </w:tc>
        <w:tc>
          <w:tcPr>
            <w:tcW w:w="1269" w:type="pct"/>
            <w:vAlign w:val="center"/>
          </w:tcPr>
          <w:p w:rsidR="00E8398E" w:rsidRPr="00831335" w:rsidRDefault="004906C0" w:rsidP="004906C0">
            <w:pPr>
              <w:rPr>
                <w:sz w:val="20"/>
              </w:rPr>
            </w:pPr>
            <w:r>
              <w:rPr>
                <w:sz w:val="20"/>
              </w:rPr>
              <w:t>MCEM &amp; Logistics Section</w:t>
            </w:r>
          </w:p>
        </w:tc>
      </w:tr>
      <w:tr w:rsidR="00E8398E" w:rsidTr="00831335">
        <w:trPr>
          <w:trHeight w:val="864"/>
        </w:trPr>
        <w:tc>
          <w:tcPr>
            <w:tcW w:w="728" w:type="pct"/>
            <w:vMerge/>
            <w:vAlign w:val="center"/>
          </w:tcPr>
          <w:p w:rsidR="00E8398E" w:rsidRPr="00E8398E" w:rsidRDefault="00E8398E" w:rsidP="00DC714E">
            <w:pPr>
              <w:rPr>
                <w:sz w:val="20"/>
              </w:rPr>
            </w:pPr>
          </w:p>
        </w:tc>
        <w:tc>
          <w:tcPr>
            <w:tcW w:w="1098" w:type="pct"/>
            <w:vAlign w:val="center"/>
          </w:tcPr>
          <w:p w:rsidR="00E8398E" w:rsidRPr="00E8398E" w:rsidRDefault="00E8398E" w:rsidP="00DC714E">
            <w:pPr>
              <w:rPr>
                <w:sz w:val="20"/>
              </w:rPr>
            </w:pPr>
            <w:r w:rsidRPr="00E8398E">
              <w:rPr>
                <w:sz w:val="20"/>
              </w:rPr>
              <w:t>The County Emergency Operations Center (EOC) would benefit from gathering requested critical resource information from responding entities.</w:t>
            </w:r>
          </w:p>
        </w:tc>
        <w:tc>
          <w:tcPr>
            <w:tcW w:w="1195" w:type="pct"/>
            <w:vAlign w:val="center"/>
          </w:tcPr>
          <w:p w:rsidR="00E8398E" w:rsidRPr="00831335" w:rsidRDefault="00E8398E" w:rsidP="00DC714E">
            <w:pPr>
              <w:rPr>
                <w:sz w:val="20"/>
              </w:rPr>
            </w:pPr>
          </w:p>
        </w:tc>
        <w:tc>
          <w:tcPr>
            <w:tcW w:w="710" w:type="pct"/>
            <w:vAlign w:val="center"/>
          </w:tcPr>
          <w:p w:rsidR="00E8398E" w:rsidRPr="00831335" w:rsidRDefault="00831335" w:rsidP="00DC714E">
            <w:pPr>
              <w:rPr>
                <w:sz w:val="20"/>
              </w:rPr>
            </w:pPr>
            <w:r>
              <w:rPr>
                <w:sz w:val="20"/>
              </w:rPr>
              <w:t>Planning</w:t>
            </w:r>
          </w:p>
        </w:tc>
        <w:tc>
          <w:tcPr>
            <w:tcW w:w="1269" w:type="pct"/>
            <w:vAlign w:val="center"/>
          </w:tcPr>
          <w:p w:rsidR="00E8398E" w:rsidRPr="00831335" w:rsidRDefault="005D0C9E" w:rsidP="00DC714E">
            <w:pPr>
              <w:rPr>
                <w:sz w:val="20"/>
              </w:rPr>
            </w:pPr>
            <w:r>
              <w:rPr>
                <w:sz w:val="20"/>
              </w:rPr>
              <w:t>Emergency Support Functions (ESFs)</w:t>
            </w:r>
          </w:p>
        </w:tc>
      </w:tr>
      <w:tr w:rsidR="00E8398E" w:rsidTr="00831335">
        <w:trPr>
          <w:trHeight w:val="864"/>
        </w:trPr>
        <w:tc>
          <w:tcPr>
            <w:tcW w:w="728" w:type="pct"/>
            <w:vMerge/>
            <w:vAlign w:val="center"/>
          </w:tcPr>
          <w:p w:rsidR="00E8398E" w:rsidRPr="00E8398E" w:rsidRDefault="00E8398E" w:rsidP="00DC714E">
            <w:pPr>
              <w:rPr>
                <w:sz w:val="20"/>
              </w:rPr>
            </w:pPr>
          </w:p>
        </w:tc>
        <w:tc>
          <w:tcPr>
            <w:tcW w:w="1098" w:type="pct"/>
            <w:vAlign w:val="center"/>
          </w:tcPr>
          <w:p w:rsidR="00E8398E" w:rsidRPr="00E8398E" w:rsidRDefault="00E8398E" w:rsidP="00DC714E">
            <w:pPr>
              <w:rPr>
                <w:sz w:val="20"/>
              </w:rPr>
            </w:pPr>
            <w:r w:rsidRPr="00E8398E">
              <w:rPr>
                <w:sz w:val="20"/>
              </w:rPr>
              <w:t>Resources are being tracked in multiple systems that can create information/situational awareness gaps.</w:t>
            </w:r>
          </w:p>
        </w:tc>
        <w:tc>
          <w:tcPr>
            <w:tcW w:w="1195" w:type="pct"/>
            <w:vAlign w:val="center"/>
          </w:tcPr>
          <w:p w:rsidR="00E8398E" w:rsidRPr="00831335" w:rsidRDefault="00E8398E" w:rsidP="00DC714E">
            <w:pPr>
              <w:rPr>
                <w:sz w:val="20"/>
              </w:rPr>
            </w:pPr>
          </w:p>
        </w:tc>
        <w:tc>
          <w:tcPr>
            <w:tcW w:w="710" w:type="pct"/>
            <w:vAlign w:val="center"/>
          </w:tcPr>
          <w:p w:rsidR="00E8398E" w:rsidRPr="00831335" w:rsidRDefault="00831335" w:rsidP="00DC714E">
            <w:pPr>
              <w:rPr>
                <w:sz w:val="20"/>
              </w:rPr>
            </w:pPr>
            <w:r>
              <w:rPr>
                <w:sz w:val="20"/>
              </w:rPr>
              <w:t>Planning</w:t>
            </w:r>
          </w:p>
        </w:tc>
        <w:tc>
          <w:tcPr>
            <w:tcW w:w="1269" w:type="pct"/>
            <w:vAlign w:val="center"/>
          </w:tcPr>
          <w:p w:rsidR="00E8398E" w:rsidRPr="00831335" w:rsidRDefault="005D0C9E" w:rsidP="00DC714E">
            <w:pPr>
              <w:rPr>
                <w:sz w:val="20"/>
              </w:rPr>
            </w:pPr>
            <w:r>
              <w:rPr>
                <w:sz w:val="20"/>
              </w:rPr>
              <w:t>RDPO REMTEC Resource Management Committee</w:t>
            </w:r>
          </w:p>
        </w:tc>
      </w:tr>
      <w:tr w:rsidR="0045022D" w:rsidTr="00901F18">
        <w:trPr>
          <w:cantSplit/>
          <w:trHeight w:val="1008"/>
        </w:trPr>
        <w:tc>
          <w:tcPr>
            <w:tcW w:w="728" w:type="pct"/>
            <w:vMerge w:val="restart"/>
            <w:textDirection w:val="btLr"/>
            <w:vAlign w:val="center"/>
          </w:tcPr>
          <w:p w:rsidR="0045022D" w:rsidRPr="00E8398E" w:rsidRDefault="0045022D" w:rsidP="00E8398E">
            <w:pPr>
              <w:ind w:left="113" w:right="113"/>
              <w:jc w:val="center"/>
              <w:rPr>
                <w:sz w:val="20"/>
              </w:rPr>
            </w:pPr>
            <w:r w:rsidRPr="00E8398E">
              <w:rPr>
                <w:sz w:val="20"/>
              </w:rPr>
              <w:t>Additional Comments</w:t>
            </w:r>
          </w:p>
        </w:tc>
        <w:tc>
          <w:tcPr>
            <w:tcW w:w="1098" w:type="pct"/>
            <w:vAlign w:val="center"/>
          </w:tcPr>
          <w:p w:rsidR="0045022D" w:rsidRPr="00E8398E" w:rsidRDefault="0045022D" w:rsidP="00DC714E">
            <w:pPr>
              <w:rPr>
                <w:sz w:val="20"/>
              </w:rPr>
            </w:pPr>
            <w:r w:rsidRPr="00E8398E">
              <w:rPr>
                <w:sz w:val="20"/>
              </w:rPr>
              <w:t>The process for Special Districts to request resources is still unclear between County and City Operations Centers.</w:t>
            </w:r>
          </w:p>
        </w:tc>
        <w:tc>
          <w:tcPr>
            <w:tcW w:w="1195" w:type="pct"/>
            <w:vAlign w:val="center"/>
          </w:tcPr>
          <w:p w:rsidR="0045022D" w:rsidRPr="00831335" w:rsidRDefault="0045022D" w:rsidP="00DC714E">
            <w:pPr>
              <w:rPr>
                <w:sz w:val="20"/>
              </w:rPr>
            </w:pPr>
          </w:p>
        </w:tc>
        <w:tc>
          <w:tcPr>
            <w:tcW w:w="710" w:type="pct"/>
            <w:vAlign w:val="center"/>
          </w:tcPr>
          <w:p w:rsidR="0045022D" w:rsidRPr="00831335" w:rsidRDefault="0045022D" w:rsidP="00DC714E">
            <w:pPr>
              <w:rPr>
                <w:sz w:val="20"/>
              </w:rPr>
            </w:pPr>
            <w:r>
              <w:rPr>
                <w:sz w:val="20"/>
              </w:rPr>
              <w:t>Planning</w:t>
            </w:r>
          </w:p>
        </w:tc>
        <w:tc>
          <w:tcPr>
            <w:tcW w:w="1269" w:type="pct"/>
            <w:vAlign w:val="center"/>
          </w:tcPr>
          <w:p w:rsidR="0045022D" w:rsidRPr="00831335" w:rsidRDefault="0045022D" w:rsidP="005D0C9E">
            <w:pPr>
              <w:rPr>
                <w:sz w:val="20"/>
              </w:rPr>
            </w:pPr>
            <w:r>
              <w:rPr>
                <w:sz w:val="20"/>
              </w:rPr>
              <w:t>MCEM</w:t>
            </w:r>
          </w:p>
        </w:tc>
      </w:tr>
      <w:tr w:rsidR="0045022D" w:rsidTr="00901F18">
        <w:trPr>
          <w:trHeight w:val="1296"/>
        </w:trPr>
        <w:tc>
          <w:tcPr>
            <w:tcW w:w="728" w:type="pct"/>
            <w:vMerge/>
            <w:vAlign w:val="center"/>
          </w:tcPr>
          <w:p w:rsidR="0045022D" w:rsidRPr="00E8398E" w:rsidRDefault="0045022D" w:rsidP="00DC714E">
            <w:pPr>
              <w:rPr>
                <w:sz w:val="20"/>
              </w:rPr>
            </w:pPr>
          </w:p>
        </w:tc>
        <w:tc>
          <w:tcPr>
            <w:tcW w:w="1098" w:type="pct"/>
            <w:vAlign w:val="center"/>
          </w:tcPr>
          <w:p w:rsidR="0045022D" w:rsidRPr="00E8398E" w:rsidRDefault="0045022D" w:rsidP="00DC714E">
            <w:pPr>
              <w:rPr>
                <w:sz w:val="20"/>
              </w:rPr>
            </w:pPr>
            <w:r w:rsidRPr="00E8398E">
              <w:rPr>
                <w:sz w:val="20"/>
              </w:rPr>
              <w:t>Many of the processes identified in these discussion were agreed upon, but are not written down. These processes should be written down.</w:t>
            </w:r>
          </w:p>
        </w:tc>
        <w:tc>
          <w:tcPr>
            <w:tcW w:w="1195" w:type="pct"/>
            <w:vAlign w:val="center"/>
          </w:tcPr>
          <w:p w:rsidR="0045022D" w:rsidRPr="00831335" w:rsidRDefault="0045022D" w:rsidP="00DC714E">
            <w:pPr>
              <w:rPr>
                <w:sz w:val="20"/>
              </w:rPr>
            </w:pPr>
          </w:p>
        </w:tc>
        <w:tc>
          <w:tcPr>
            <w:tcW w:w="710" w:type="pct"/>
            <w:vAlign w:val="center"/>
          </w:tcPr>
          <w:p w:rsidR="0045022D" w:rsidRPr="00831335" w:rsidRDefault="0045022D" w:rsidP="00DC714E">
            <w:pPr>
              <w:rPr>
                <w:sz w:val="20"/>
              </w:rPr>
            </w:pPr>
            <w:r>
              <w:rPr>
                <w:sz w:val="20"/>
              </w:rPr>
              <w:t>Planning</w:t>
            </w:r>
          </w:p>
        </w:tc>
        <w:tc>
          <w:tcPr>
            <w:tcW w:w="1269" w:type="pct"/>
            <w:vAlign w:val="center"/>
          </w:tcPr>
          <w:p w:rsidR="0045022D" w:rsidRPr="00831335" w:rsidRDefault="0045022D" w:rsidP="005D0C9E">
            <w:pPr>
              <w:rPr>
                <w:sz w:val="20"/>
              </w:rPr>
            </w:pPr>
            <w:r>
              <w:rPr>
                <w:sz w:val="20"/>
              </w:rPr>
              <w:t xml:space="preserve">MCEM – Operations </w:t>
            </w:r>
          </w:p>
        </w:tc>
      </w:tr>
      <w:tr w:rsidR="0045022D" w:rsidTr="00901F18">
        <w:trPr>
          <w:trHeight w:val="1296"/>
        </w:trPr>
        <w:tc>
          <w:tcPr>
            <w:tcW w:w="728" w:type="pct"/>
            <w:vMerge/>
            <w:vAlign w:val="center"/>
          </w:tcPr>
          <w:p w:rsidR="0045022D" w:rsidRPr="00E8398E" w:rsidRDefault="0045022D" w:rsidP="00DC714E">
            <w:pPr>
              <w:rPr>
                <w:sz w:val="20"/>
              </w:rPr>
            </w:pPr>
          </w:p>
        </w:tc>
        <w:tc>
          <w:tcPr>
            <w:tcW w:w="1098" w:type="pct"/>
            <w:vAlign w:val="center"/>
          </w:tcPr>
          <w:p w:rsidR="0045022D" w:rsidRPr="00E8398E" w:rsidRDefault="0045022D" w:rsidP="001A2819">
            <w:pPr>
              <w:rPr>
                <w:sz w:val="20"/>
              </w:rPr>
            </w:pPr>
            <w:r w:rsidRPr="00E8398E">
              <w:rPr>
                <w:sz w:val="20"/>
              </w:rPr>
              <w:t>The County Office of Emergency Management team are the only individuals with access the Em</w:t>
            </w:r>
            <w:r>
              <w:rPr>
                <w:sz w:val="20"/>
              </w:rPr>
              <w:t>ergency Operations Center (EOC</w:t>
            </w:r>
            <w:r w:rsidRPr="001A2819">
              <w:rPr>
                <w:sz w:val="20"/>
              </w:rPr>
              <w:t xml:space="preserve">) </w:t>
            </w:r>
            <w:r w:rsidR="001A2819" w:rsidRPr="001A2819">
              <w:rPr>
                <w:sz w:val="20"/>
              </w:rPr>
              <w:t>at the</w:t>
            </w:r>
            <w:r w:rsidR="001A2819">
              <w:rPr>
                <w:sz w:val="20"/>
              </w:rPr>
              <w:t xml:space="preserve"> current</w:t>
            </w:r>
            <w:r w:rsidR="001A2819" w:rsidRPr="001A2819">
              <w:rPr>
                <w:sz w:val="20"/>
              </w:rPr>
              <w:t xml:space="preserve"> Juvenile Justice Center.</w:t>
            </w:r>
          </w:p>
        </w:tc>
        <w:tc>
          <w:tcPr>
            <w:tcW w:w="1195" w:type="pct"/>
            <w:vAlign w:val="center"/>
          </w:tcPr>
          <w:p w:rsidR="0045022D" w:rsidRPr="00831335" w:rsidRDefault="0045022D" w:rsidP="00DC714E">
            <w:pPr>
              <w:rPr>
                <w:sz w:val="20"/>
              </w:rPr>
            </w:pPr>
          </w:p>
        </w:tc>
        <w:tc>
          <w:tcPr>
            <w:tcW w:w="710" w:type="pct"/>
            <w:vAlign w:val="center"/>
          </w:tcPr>
          <w:p w:rsidR="0045022D" w:rsidRPr="00831335" w:rsidRDefault="0045022D" w:rsidP="00DC714E">
            <w:pPr>
              <w:rPr>
                <w:sz w:val="20"/>
              </w:rPr>
            </w:pPr>
            <w:r>
              <w:rPr>
                <w:sz w:val="20"/>
              </w:rPr>
              <w:t>Planning</w:t>
            </w:r>
          </w:p>
        </w:tc>
        <w:tc>
          <w:tcPr>
            <w:tcW w:w="1269" w:type="pct"/>
            <w:vAlign w:val="center"/>
          </w:tcPr>
          <w:p w:rsidR="0045022D" w:rsidRPr="00831335" w:rsidRDefault="0045022D" w:rsidP="00DC714E">
            <w:pPr>
              <w:rPr>
                <w:sz w:val="20"/>
              </w:rPr>
            </w:pPr>
            <w:r>
              <w:rPr>
                <w:sz w:val="20"/>
              </w:rPr>
              <w:t>MCEM &amp; DCA IT</w:t>
            </w:r>
          </w:p>
        </w:tc>
      </w:tr>
      <w:tr w:rsidR="0045022D" w:rsidTr="00901F18">
        <w:trPr>
          <w:trHeight w:val="1008"/>
        </w:trPr>
        <w:tc>
          <w:tcPr>
            <w:tcW w:w="728" w:type="pct"/>
            <w:vMerge/>
            <w:vAlign w:val="center"/>
          </w:tcPr>
          <w:p w:rsidR="0045022D" w:rsidRPr="00E8398E" w:rsidRDefault="0045022D" w:rsidP="00DC714E">
            <w:pPr>
              <w:rPr>
                <w:sz w:val="20"/>
              </w:rPr>
            </w:pPr>
          </w:p>
        </w:tc>
        <w:tc>
          <w:tcPr>
            <w:tcW w:w="1098" w:type="pct"/>
            <w:vAlign w:val="center"/>
          </w:tcPr>
          <w:p w:rsidR="0045022D" w:rsidRPr="00E8398E" w:rsidRDefault="0045022D" w:rsidP="0045022D">
            <w:pPr>
              <w:rPr>
                <w:sz w:val="20"/>
              </w:rPr>
            </w:pPr>
            <w:r>
              <w:rPr>
                <w:sz w:val="20"/>
              </w:rPr>
              <w:t xml:space="preserve">County partner organizations need more information and awareness regarding the process and documentation for </w:t>
            </w:r>
            <w:r w:rsidRPr="00E8398E">
              <w:rPr>
                <w:sz w:val="20"/>
              </w:rPr>
              <w:t>submitting reso</w:t>
            </w:r>
            <w:r>
              <w:rPr>
                <w:sz w:val="20"/>
              </w:rPr>
              <w:t xml:space="preserve">urce requests to the county Emergency Operations Center (EOC). </w:t>
            </w:r>
          </w:p>
        </w:tc>
        <w:tc>
          <w:tcPr>
            <w:tcW w:w="1195" w:type="pct"/>
            <w:vAlign w:val="center"/>
          </w:tcPr>
          <w:p w:rsidR="0045022D" w:rsidRPr="005D0C9E" w:rsidRDefault="0045022D" w:rsidP="00DC714E">
            <w:pPr>
              <w:rPr>
                <w:b/>
                <w:i/>
                <w:sz w:val="20"/>
              </w:rPr>
            </w:pPr>
            <w:r>
              <w:rPr>
                <w:b/>
                <w:i/>
                <w:sz w:val="20"/>
              </w:rPr>
              <w:t>[</w:t>
            </w:r>
            <w:r>
              <w:rPr>
                <w:i/>
                <w:sz w:val="20"/>
              </w:rPr>
              <w:t xml:space="preserve">Advise, perhaps not train] </w:t>
            </w:r>
            <w:r>
              <w:rPr>
                <w:b/>
                <w:i/>
                <w:sz w:val="20"/>
              </w:rPr>
              <w:t>Ensure this is written to separate it from the OEM guidance written above.</w:t>
            </w:r>
          </w:p>
        </w:tc>
        <w:tc>
          <w:tcPr>
            <w:tcW w:w="710" w:type="pct"/>
            <w:vAlign w:val="center"/>
          </w:tcPr>
          <w:p w:rsidR="0045022D" w:rsidRPr="00831335" w:rsidRDefault="0045022D" w:rsidP="00DC714E">
            <w:pPr>
              <w:rPr>
                <w:sz w:val="20"/>
              </w:rPr>
            </w:pPr>
            <w:r>
              <w:rPr>
                <w:sz w:val="20"/>
              </w:rPr>
              <w:t>Training</w:t>
            </w:r>
          </w:p>
        </w:tc>
        <w:tc>
          <w:tcPr>
            <w:tcW w:w="1269" w:type="pct"/>
            <w:vAlign w:val="center"/>
          </w:tcPr>
          <w:p w:rsidR="0045022D" w:rsidRPr="00831335" w:rsidRDefault="0045022D" w:rsidP="00DC714E">
            <w:pPr>
              <w:rPr>
                <w:sz w:val="20"/>
              </w:rPr>
            </w:pPr>
            <w:r>
              <w:rPr>
                <w:sz w:val="20"/>
              </w:rPr>
              <w:t>MCEM – Operations</w:t>
            </w:r>
          </w:p>
        </w:tc>
      </w:tr>
      <w:tr w:rsidR="0045022D" w:rsidTr="00901F18">
        <w:trPr>
          <w:trHeight w:val="1008"/>
        </w:trPr>
        <w:tc>
          <w:tcPr>
            <w:tcW w:w="728" w:type="pct"/>
            <w:vMerge/>
            <w:vAlign w:val="center"/>
          </w:tcPr>
          <w:p w:rsidR="0045022D" w:rsidRPr="00E8398E" w:rsidRDefault="0045022D" w:rsidP="00DC714E">
            <w:pPr>
              <w:rPr>
                <w:sz w:val="20"/>
              </w:rPr>
            </w:pPr>
          </w:p>
        </w:tc>
        <w:tc>
          <w:tcPr>
            <w:tcW w:w="1098" w:type="pct"/>
            <w:vAlign w:val="center"/>
          </w:tcPr>
          <w:p w:rsidR="0045022D" w:rsidRPr="00B132FB" w:rsidRDefault="00B132FB" w:rsidP="00DC714E">
            <w:pPr>
              <w:rPr>
                <w:sz w:val="20"/>
              </w:rPr>
            </w:pPr>
            <w:r w:rsidRPr="00B132FB">
              <w:rPr>
                <w:sz w:val="20"/>
              </w:rPr>
              <w:t>If the county provides and pays for resources to a partner organization without a formal agreement in place, the county cannot be reimbursed by the Federal government in a declared disaster.</w:t>
            </w:r>
          </w:p>
        </w:tc>
        <w:tc>
          <w:tcPr>
            <w:tcW w:w="1195" w:type="pct"/>
            <w:vAlign w:val="center"/>
          </w:tcPr>
          <w:p w:rsidR="0045022D" w:rsidRPr="00B132FB" w:rsidRDefault="0045022D" w:rsidP="00DC714E">
            <w:pPr>
              <w:rPr>
                <w:sz w:val="20"/>
              </w:rPr>
            </w:pPr>
            <w:r w:rsidRPr="00B132FB">
              <w:rPr>
                <w:sz w:val="20"/>
              </w:rPr>
              <w:t>Identify which organizations are currently listed on the Omnibus Agreement. Encourage or require partner organizations participate in the Omnibus Agreement</w:t>
            </w:r>
          </w:p>
        </w:tc>
        <w:tc>
          <w:tcPr>
            <w:tcW w:w="710" w:type="pct"/>
            <w:vAlign w:val="center"/>
          </w:tcPr>
          <w:p w:rsidR="0045022D" w:rsidRDefault="00B132FB" w:rsidP="00DC714E">
            <w:pPr>
              <w:rPr>
                <w:sz w:val="20"/>
              </w:rPr>
            </w:pPr>
            <w:r>
              <w:rPr>
                <w:sz w:val="20"/>
              </w:rPr>
              <w:t>Planning</w:t>
            </w:r>
          </w:p>
        </w:tc>
        <w:tc>
          <w:tcPr>
            <w:tcW w:w="1269" w:type="pct"/>
            <w:vAlign w:val="center"/>
          </w:tcPr>
          <w:p w:rsidR="0045022D" w:rsidRDefault="00B132FB" w:rsidP="00DC714E">
            <w:pPr>
              <w:rPr>
                <w:sz w:val="20"/>
              </w:rPr>
            </w:pPr>
            <w:r>
              <w:rPr>
                <w:sz w:val="20"/>
              </w:rPr>
              <w:t>MCEM</w:t>
            </w:r>
          </w:p>
        </w:tc>
      </w:tr>
    </w:tbl>
    <w:p w:rsidR="008E5A4D" w:rsidRPr="00DC714E" w:rsidRDefault="00DC714E" w:rsidP="00DC714E">
      <w:pPr>
        <w:spacing w:before="120"/>
        <w:jc w:val="center"/>
        <w:rPr>
          <w:b/>
          <w:i/>
        </w:rPr>
      </w:pPr>
      <w:r>
        <w:rPr>
          <w:b/>
          <w:i/>
        </w:rPr>
        <w:t>Table 4. Improvement Plan</w:t>
      </w:r>
    </w:p>
    <w:p w:rsidR="00501706" w:rsidRPr="00501706" w:rsidRDefault="00501706" w:rsidP="00DC714E">
      <w:pPr>
        <w:jc w:val="center"/>
      </w:pPr>
    </w:p>
    <w:sectPr w:rsidR="00501706" w:rsidRPr="00501706" w:rsidSect="008E5A4D">
      <w:pgSz w:w="15840" w:h="12240" w:orient="landscape"/>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3916" w:rsidRDefault="00023916">
      <w:pPr>
        <w:spacing w:after="0"/>
      </w:pPr>
      <w:r>
        <w:separator/>
      </w:r>
    </w:p>
  </w:endnote>
  <w:endnote w:type="continuationSeparator" w:id="0">
    <w:p w:rsidR="00023916" w:rsidRDefault="0002391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9615720"/>
      <w:docPartObj>
        <w:docPartGallery w:val="Page Numbers (Bottom of Page)"/>
        <w:docPartUnique/>
      </w:docPartObj>
    </w:sdtPr>
    <w:sdtEndPr/>
    <w:sdtContent>
      <w:sdt>
        <w:sdtPr>
          <w:id w:val="-170417689"/>
          <w:docPartObj>
            <w:docPartGallery w:val="Page Numbers (Top of Page)"/>
            <w:docPartUnique/>
          </w:docPartObj>
        </w:sdtPr>
        <w:sdtEndPr/>
        <w:sdtContent>
          <w:p w:rsidR="003031B8" w:rsidRDefault="003031B8">
            <w:pPr>
              <w:pStyle w:val="Footer"/>
              <w:jc w:val="right"/>
            </w:pPr>
            <w:r>
              <w:t xml:space="preserve">Page </w:t>
            </w:r>
            <w:r>
              <w:rPr>
                <w:b/>
                <w:bCs/>
              </w:rPr>
              <w:fldChar w:fldCharType="begin"/>
            </w:r>
            <w:r>
              <w:rPr>
                <w:b/>
                <w:bCs/>
              </w:rPr>
              <w:instrText xml:space="preserve"> PAGE </w:instrText>
            </w:r>
            <w:r>
              <w:rPr>
                <w:b/>
                <w:bCs/>
              </w:rPr>
              <w:fldChar w:fldCharType="separate"/>
            </w:r>
            <w:r w:rsidR="004D5CAD">
              <w:rPr>
                <w:b/>
                <w:bCs/>
                <w:noProof/>
              </w:rPr>
              <w:t>8</w:t>
            </w:r>
            <w:r>
              <w:rPr>
                <w:b/>
                <w:bCs/>
              </w:rPr>
              <w:fldChar w:fldCharType="end"/>
            </w:r>
            <w:r>
              <w:t xml:space="preserve"> of </w:t>
            </w:r>
            <w:r w:rsidR="00EB3A63">
              <w:rPr>
                <w:b/>
                <w:bCs/>
              </w:rPr>
              <w:t>1</w:t>
            </w:r>
            <w:r w:rsidR="0056163F">
              <w:rPr>
                <w:b/>
                <w:bCs/>
              </w:rPr>
              <w:t>2</w:t>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1B8" w:rsidRDefault="003031B8" w:rsidP="00586025">
    <w:pPr>
      <w:pStyle w:val="Footer"/>
    </w:pPr>
    <w:r>
      <w:t>______________________________________________________________________________</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6634565"/>
      <w:docPartObj>
        <w:docPartGallery w:val="Page Numbers (Bottom of Page)"/>
        <w:docPartUnique/>
      </w:docPartObj>
    </w:sdtPr>
    <w:sdtEndPr/>
    <w:sdtContent>
      <w:sdt>
        <w:sdtPr>
          <w:id w:val="1842806019"/>
          <w:docPartObj>
            <w:docPartGallery w:val="Page Numbers (Top of Page)"/>
            <w:docPartUnique/>
          </w:docPartObj>
        </w:sdtPr>
        <w:sdtEndPr/>
        <w:sdtContent>
          <w:p w:rsidR="003031B8" w:rsidRDefault="003031B8">
            <w:pPr>
              <w:pStyle w:val="Footer"/>
              <w:jc w:val="right"/>
            </w:pPr>
            <w:r>
              <w:t xml:space="preserve">Page </w:t>
            </w:r>
            <w:r>
              <w:rPr>
                <w:b/>
                <w:bCs/>
              </w:rPr>
              <w:fldChar w:fldCharType="begin"/>
            </w:r>
            <w:r>
              <w:rPr>
                <w:b/>
                <w:bCs/>
              </w:rPr>
              <w:instrText xml:space="preserve"> PAGE </w:instrText>
            </w:r>
            <w:r>
              <w:rPr>
                <w:b/>
                <w:bCs/>
              </w:rPr>
              <w:fldChar w:fldCharType="separate"/>
            </w:r>
            <w:r w:rsidR="004D5CAD">
              <w:rPr>
                <w:b/>
                <w:bCs/>
                <w:noProof/>
              </w:rPr>
              <w:t>9</w:t>
            </w:r>
            <w:r>
              <w:rPr>
                <w:b/>
                <w:bCs/>
              </w:rPr>
              <w:fldChar w:fldCharType="end"/>
            </w:r>
            <w:r>
              <w:t xml:space="preserve"> of </w:t>
            </w:r>
            <w:r w:rsidR="00EB3A63">
              <w:rPr>
                <w:b/>
                <w:bCs/>
              </w:rPr>
              <w:t>11</w:t>
            </w:r>
          </w:p>
        </w:sdtContent>
      </w:sdt>
    </w:sdtContent>
  </w:sdt>
  <w:p w:rsidR="003031B8" w:rsidRDefault="003031B8" w:rsidP="001D5A4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1948315"/>
      <w:docPartObj>
        <w:docPartGallery w:val="Page Numbers (Bottom of Page)"/>
        <w:docPartUnique/>
      </w:docPartObj>
    </w:sdtPr>
    <w:sdtEndPr/>
    <w:sdtContent>
      <w:sdt>
        <w:sdtPr>
          <w:id w:val="-1769616900"/>
          <w:docPartObj>
            <w:docPartGallery w:val="Page Numbers (Top of Page)"/>
            <w:docPartUnique/>
          </w:docPartObj>
        </w:sdtPr>
        <w:sdtEndPr/>
        <w:sdtContent>
          <w:p w:rsidR="003031B8" w:rsidRDefault="003031B8">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6</w:t>
            </w:r>
            <w:r>
              <w:rPr>
                <w:b/>
                <w:bCs/>
              </w:rPr>
              <w:fldChar w:fldCharType="end"/>
            </w:r>
            <w:r>
              <w:t xml:space="preserve"> of </w:t>
            </w:r>
            <w:r>
              <w:rPr>
                <w:b/>
                <w:bCs/>
              </w:rPr>
              <w:fldChar w:fldCharType="begin"/>
            </w:r>
            <w:r>
              <w:rPr>
                <w:b/>
                <w:bCs/>
              </w:rPr>
              <w:instrText xml:space="preserve"> NUMPAGES  </w:instrText>
            </w:r>
            <w:r>
              <w:rPr>
                <w:b/>
                <w:bCs/>
              </w:rPr>
              <w:fldChar w:fldCharType="separate"/>
            </w:r>
            <w:r w:rsidR="003757D7">
              <w:rPr>
                <w:b/>
                <w:bCs/>
                <w:noProof/>
              </w:rPr>
              <w:t>12</w:t>
            </w:r>
            <w:r>
              <w:rPr>
                <w:b/>
                <w:bCs/>
              </w:rPr>
              <w:fldChar w:fldCharType="end"/>
            </w:r>
          </w:p>
        </w:sdtContent>
      </w:sdt>
    </w:sdtContent>
  </w:sdt>
  <w:p w:rsidR="003031B8" w:rsidRDefault="003031B8" w:rsidP="001D5A4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1B8" w:rsidRDefault="003031B8" w:rsidP="00586025">
    <w:pPr>
      <w:pStyle w:val="Footer"/>
    </w:pPr>
    <w:r>
      <w:t>______________________________________________________________________________</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3628010"/>
      <w:docPartObj>
        <w:docPartGallery w:val="Page Numbers (Bottom of Page)"/>
        <w:docPartUnique/>
      </w:docPartObj>
    </w:sdtPr>
    <w:sdtEndPr/>
    <w:sdtContent>
      <w:sdt>
        <w:sdtPr>
          <w:id w:val="108323486"/>
          <w:docPartObj>
            <w:docPartGallery w:val="Page Numbers (Top of Page)"/>
            <w:docPartUnique/>
          </w:docPartObj>
        </w:sdtPr>
        <w:sdtEndPr/>
        <w:sdtContent>
          <w:p w:rsidR="003031B8" w:rsidRDefault="003031B8">
            <w:pPr>
              <w:pStyle w:val="Footer"/>
              <w:jc w:val="right"/>
            </w:pPr>
            <w:r>
              <w:t xml:space="preserve">Page </w:t>
            </w:r>
            <w:r>
              <w:rPr>
                <w:b/>
                <w:bCs/>
              </w:rPr>
              <w:fldChar w:fldCharType="begin"/>
            </w:r>
            <w:r>
              <w:rPr>
                <w:b/>
                <w:bCs/>
              </w:rPr>
              <w:instrText xml:space="preserve"> PAGE </w:instrText>
            </w:r>
            <w:r>
              <w:rPr>
                <w:b/>
                <w:bCs/>
              </w:rPr>
              <w:fldChar w:fldCharType="separate"/>
            </w:r>
            <w:r w:rsidR="004D5CAD">
              <w:rPr>
                <w:b/>
                <w:bCs/>
                <w:noProof/>
              </w:rPr>
              <w:t>12</w:t>
            </w:r>
            <w:r>
              <w:rPr>
                <w:b/>
                <w:bCs/>
              </w:rPr>
              <w:fldChar w:fldCharType="end"/>
            </w:r>
            <w:r>
              <w:t xml:space="preserve"> of </w:t>
            </w:r>
            <w:r w:rsidR="00E0511C">
              <w:rPr>
                <w:b/>
                <w:bCs/>
              </w:rPr>
              <w:t>1</w:t>
            </w:r>
            <w:r w:rsidR="00B132FB">
              <w:rPr>
                <w:b/>
                <w:bCs/>
              </w:rPr>
              <w:t>2</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3916" w:rsidRDefault="00023916">
      <w:pPr>
        <w:spacing w:after="0"/>
      </w:pPr>
      <w:r>
        <w:separator/>
      </w:r>
    </w:p>
  </w:footnote>
  <w:footnote w:type="continuationSeparator" w:id="0">
    <w:p w:rsidR="00023916" w:rsidRDefault="0002391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1B8" w:rsidRDefault="003031B8">
    <w:pPr>
      <w:pStyle w:val="Header"/>
      <w:rPr>
        <w:i/>
      </w:rPr>
    </w:pPr>
    <w:r>
      <w:rPr>
        <w:noProof/>
      </w:rPr>
      <w:drawing>
        <wp:anchor distT="0" distB="0" distL="114300" distR="114300" simplePos="0" relativeHeight="251662336" behindDoc="1" locked="0" layoutInCell="1" allowOverlap="1" wp14:anchorId="6596DA93" wp14:editId="674C35B5">
          <wp:simplePos x="0" y="0"/>
          <wp:positionH relativeFrom="margin">
            <wp:align>right</wp:align>
          </wp:positionH>
          <wp:positionV relativeFrom="paragraph">
            <wp:posOffset>-85725</wp:posOffset>
          </wp:positionV>
          <wp:extent cx="1638300" cy="504825"/>
          <wp:effectExtent l="0" t="0" r="0" b="9525"/>
          <wp:wrapTight wrapText="bothSides">
            <wp:wrapPolygon edited="0">
              <wp:start x="2260" y="0"/>
              <wp:lineTo x="251" y="13042"/>
              <wp:lineTo x="0" y="17117"/>
              <wp:lineTo x="0" y="20377"/>
              <wp:lineTo x="15572" y="21192"/>
              <wp:lineTo x="17079" y="21192"/>
              <wp:lineTo x="18084" y="14672"/>
              <wp:lineTo x="21349" y="12226"/>
              <wp:lineTo x="21349" y="3260"/>
              <wp:lineTo x="6028" y="0"/>
              <wp:lineTo x="2260" y="0"/>
            </wp:wrapPolygon>
          </wp:wrapTight>
          <wp:docPr id="8" name="Picture 8" descr="https://lh5.googleusercontent.com/YtgpVOCrC-JIufdIOBSTslm4IFuV46GcG_htmSIBa0Q1UxV89W3gLSAynm6ImaTd0EvSN8UI53uhpzVgatAjphLfmFYxyY_LlB_jnan6JlDiTHX1c61R7AL7esYjgoPmeGT743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YtgpVOCrC-JIufdIOBSTslm4IFuV46GcG_htmSIBa0Q1UxV89W3gLSAynm6ImaTd0EvSN8UI53uhpzVgatAjphLfmFYxyY_LlB_jnan6JlDiTHX1c61R7AL7esYjgoPmeGT743MI"/>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38300" cy="50482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0E634C">
      <w:rPr>
        <w:i/>
      </w:rPr>
      <w:t>OpsCenter</w:t>
    </w:r>
    <w:proofErr w:type="spellEnd"/>
    <w:r w:rsidR="000E634C">
      <w:rPr>
        <w:i/>
      </w:rPr>
      <w:t xml:space="preserve"> November 2018 Exercise</w:t>
    </w:r>
  </w:p>
  <w:p w:rsidR="003031B8" w:rsidRPr="00B4344D" w:rsidRDefault="003031B8">
    <w:pPr>
      <w:pStyle w:val="Header"/>
      <w:rPr>
        <w:i/>
      </w:rPr>
    </w:pPr>
    <w:r>
      <w:rPr>
        <w:i/>
      </w:rPr>
      <w:t>After-Action Report/Improvement Plan</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1B8" w:rsidRDefault="003031B8">
    <w:pPr>
      <w:pStyle w:val="Header"/>
    </w:pPr>
    <w:r>
      <w:t>______________________________________________________________________________</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1B8" w:rsidRDefault="003031B8">
    <w:pPr>
      <w:pStyle w:val="Header"/>
      <w:rPr>
        <w:i/>
      </w:rPr>
    </w:pPr>
    <w:r>
      <w:rPr>
        <w:noProof/>
      </w:rPr>
      <w:drawing>
        <wp:anchor distT="0" distB="0" distL="114300" distR="114300" simplePos="0" relativeHeight="251660288" behindDoc="1" locked="0" layoutInCell="1" allowOverlap="1" wp14:anchorId="439E87BC" wp14:editId="33CA11D0">
          <wp:simplePos x="0" y="0"/>
          <wp:positionH relativeFrom="margin">
            <wp:align>right</wp:align>
          </wp:positionH>
          <wp:positionV relativeFrom="paragraph">
            <wp:posOffset>-85725</wp:posOffset>
          </wp:positionV>
          <wp:extent cx="1638300" cy="504825"/>
          <wp:effectExtent l="0" t="0" r="0" b="9525"/>
          <wp:wrapTight wrapText="bothSides">
            <wp:wrapPolygon edited="0">
              <wp:start x="2260" y="0"/>
              <wp:lineTo x="251" y="13042"/>
              <wp:lineTo x="0" y="17117"/>
              <wp:lineTo x="0" y="20377"/>
              <wp:lineTo x="15572" y="21192"/>
              <wp:lineTo x="17079" y="21192"/>
              <wp:lineTo x="18084" y="14672"/>
              <wp:lineTo x="21349" y="12226"/>
              <wp:lineTo x="21349" y="3260"/>
              <wp:lineTo x="6028" y="0"/>
              <wp:lineTo x="2260" y="0"/>
            </wp:wrapPolygon>
          </wp:wrapTight>
          <wp:docPr id="3" name="Picture 3" descr="https://lh5.googleusercontent.com/YtgpVOCrC-JIufdIOBSTslm4IFuV46GcG_htmSIBa0Q1UxV89W3gLSAynm6ImaTd0EvSN8UI53uhpzVgatAjphLfmFYxyY_LlB_jnan6JlDiTHX1c61R7AL7esYjgoPmeGT743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YtgpVOCrC-JIufdIOBSTslm4IFuV46GcG_htmSIBa0Q1UxV89W3gLSAynm6ImaTd0EvSN8UI53uhpzVgatAjphLfmFYxyY_LlB_jnan6JlDiTHX1c61R7AL7esYjgoPmeGT743MI"/>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38300" cy="50482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EB3A63">
      <w:rPr>
        <w:i/>
      </w:rPr>
      <w:t>OpsCenter</w:t>
    </w:r>
    <w:proofErr w:type="spellEnd"/>
    <w:r w:rsidR="00EB3A63">
      <w:rPr>
        <w:i/>
      </w:rPr>
      <w:t xml:space="preserve"> November 2018 Exercise</w:t>
    </w:r>
  </w:p>
  <w:p w:rsidR="003031B8" w:rsidRPr="00B4344D" w:rsidRDefault="003031B8">
    <w:pPr>
      <w:pStyle w:val="Header"/>
      <w:rPr>
        <w:i/>
      </w:rPr>
    </w:pPr>
    <w:r>
      <w:rPr>
        <w:i/>
      </w:rPr>
      <w:t>After-Action Report</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1B8" w:rsidRDefault="003031B8">
    <w:pPr>
      <w:pStyle w:val="Header"/>
      <w:rPr>
        <w:i/>
      </w:rPr>
    </w:pPr>
    <w:r>
      <w:rPr>
        <w:noProof/>
      </w:rPr>
      <w:drawing>
        <wp:anchor distT="0" distB="0" distL="114300" distR="114300" simplePos="0" relativeHeight="251658240" behindDoc="1" locked="0" layoutInCell="1" allowOverlap="1">
          <wp:simplePos x="0" y="0"/>
          <wp:positionH relativeFrom="margin">
            <wp:align>right</wp:align>
          </wp:positionH>
          <wp:positionV relativeFrom="paragraph">
            <wp:posOffset>-85725</wp:posOffset>
          </wp:positionV>
          <wp:extent cx="1638300" cy="504825"/>
          <wp:effectExtent l="0" t="0" r="0" b="9525"/>
          <wp:wrapTight wrapText="bothSides">
            <wp:wrapPolygon edited="0">
              <wp:start x="2260" y="0"/>
              <wp:lineTo x="251" y="13042"/>
              <wp:lineTo x="0" y="17117"/>
              <wp:lineTo x="0" y="20377"/>
              <wp:lineTo x="15572" y="21192"/>
              <wp:lineTo x="17079" y="21192"/>
              <wp:lineTo x="18084" y="14672"/>
              <wp:lineTo x="21349" y="12226"/>
              <wp:lineTo x="21349" y="3260"/>
              <wp:lineTo x="6028" y="0"/>
              <wp:lineTo x="2260" y="0"/>
            </wp:wrapPolygon>
          </wp:wrapTight>
          <wp:docPr id="10" name="Picture 10" descr="https://lh5.googleusercontent.com/YtgpVOCrC-JIufdIOBSTslm4IFuV46GcG_htmSIBa0Q1UxV89W3gLSAynm6ImaTd0EvSN8UI53uhpzVgatAjphLfmFYxyY_LlB_jnan6JlDiTHX1c61R7AL7esYjgoPmeGT743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YtgpVOCrC-JIufdIOBSTslm4IFuV46GcG_htmSIBa0Q1UxV89W3gLSAynm6ImaTd0EvSN8UI53uhpzVgatAjphLfmFYxyY_LlB_jnan6JlDiTHX1c61R7AL7esYjgoPmeGT743MI"/>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38300" cy="504825"/>
                  </a:xfrm>
                  <a:prstGeom prst="rect">
                    <a:avLst/>
                  </a:prstGeom>
                  <a:noFill/>
                  <a:ln>
                    <a:noFill/>
                  </a:ln>
                </pic:spPr>
              </pic:pic>
            </a:graphicData>
          </a:graphic>
          <wp14:sizeRelH relativeFrom="page">
            <wp14:pctWidth>0</wp14:pctWidth>
          </wp14:sizeRelH>
          <wp14:sizeRelV relativeFrom="page">
            <wp14:pctHeight>0</wp14:pctHeight>
          </wp14:sizeRelV>
        </wp:anchor>
      </w:drawing>
    </w:r>
    <w:r>
      <w:rPr>
        <w:i/>
      </w:rPr>
      <w:t>Oil No!</w:t>
    </w:r>
    <w:r w:rsidRPr="00752EC8">
      <w:rPr>
        <w:noProof/>
      </w:rPr>
      <w:t xml:space="preserve"> </w:t>
    </w:r>
  </w:p>
  <w:p w:rsidR="003031B8" w:rsidRPr="00B4344D" w:rsidRDefault="003031B8">
    <w:pPr>
      <w:pStyle w:val="Header"/>
      <w:rPr>
        <w:i/>
      </w:rPr>
    </w:pPr>
    <w:r>
      <w:rPr>
        <w:i/>
      </w:rPr>
      <w:t>After-Action Report</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1B8" w:rsidRDefault="003031B8">
    <w:pPr>
      <w:pStyle w:val="Header"/>
    </w:pPr>
    <w:r>
      <w:t>______________________________________________________________________________</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1B8" w:rsidRDefault="003031B8" w:rsidP="001D5A4F">
    <w:pPr>
      <w:pStyle w:val="Header"/>
      <w:rPr>
        <w:i/>
      </w:rPr>
    </w:pPr>
    <w:r>
      <w:rPr>
        <w:i/>
        <w:noProof/>
      </w:rPr>
      <w:drawing>
        <wp:anchor distT="0" distB="0" distL="114300" distR="114300" simplePos="0" relativeHeight="251663360" behindDoc="1" locked="0" layoutInCell="1" allowOverlap="1">
          <wp:simplePos x="0" y="0"/>
          <wp:positionH relativeFrom="margin">
            <wp:align>right</wp:align>
          </wp:positionH>
          <wp:positionV relativeFrom="paragraph">
            <wp:posOffset>-57150</wp:posOffset>
          </wp:positionV>
          <wp:extent cx="1640205" cy="506095"/>
          <wp:effectExtent l="0" t="0" r="0" b="8255"/>
          <wp:wrapTight wrapText="bothSides">
            <wp:wrapPolygon edited="0">
              <wp:start x="2258" y="0"/>
              <wp:lineTo x="251" y="13009"/>
              <wp:lineTo x="0" y="17074"/>
              <wp:lineTo x="0" y="20326"/>
              <wp:lineTo x="15554" y="21139"/>
              <wp:lineTo x="17059" y="21139"/>
              <wp:lineTo x="18314" y="14635"/>
              <wp:lineTo x="21324" y="12196"/>
              <wp:lineTo x="21324" y="3252"/>
              <wp:lineTo x="6021" y="0"/>
              <wp:lineTo x="2258"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0205" cy="506095"/>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Pr>
        <w:i/>
      </w:rPr>
      <w:t>OpsCenter</w:t>
    </w:r>
    <w:proofErr w:type="spellEnd"/>
    <w:r>
      <w:rPr>
        <w:i/>
      </w:rPr>
      <w:t xml:space="preserve"> November 2018</w:t>
    </w:r>
  </w:p>
  <w:p w:rsidR="003031B8" w:rsidRPr="008E5A4D" w:rsidRDefault="003031B8" w:rsidP="001D5A4F">
    <w:pPr>
      <w:pStyle w:val="Header"/>
      <w:rPr>
        <w:i/>
      </w:rPr>
    </w:pPr>
    <w:r>
      <w:rPr>
        <w:i/>
      </w:rPr>
      <w:t>After-Action Report/Improvement Plan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85BDE"/>
    <w:multiLevelType w:val="hybridMultilevel"/>
    <w:tmpl w:val="5DCCD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247315"/>
    <w:multiLevelType w:val="hybridMultilevel"/>
    <w:tmpl w:val="559CAC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95C3F55"/>
    <w:multiLevelType w:val="multilevel"/>
    <w:tmpl w:val="ABB4B692"/>
    <w:lvl w:ilvl="0">
      <w:start w:val="1"/>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0A1A3966"/>
    <w:multiLevelType w:val="hybridMultilevel"/>
    <w:tmpl w:val="8FDC6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EC325E"/>
    <w:multiLevelType w:val="multilevel"/>
    <w:tmpl w:val="DD8619C6"/>
    <w:lvl w:ilvl="0">
      <w:start w:val="1"/>
      <w:numFmt w:val="decimal"/>
      <w:lvlText w:val=""/>
      <w:lvlJc w:val="left"/>
      <w:pPr>
        <w:ind w:left="1440" w:hanging="360"/>
      </w:pPr>
      <w:rPr>
        <w:i w:val="0"/>
        <w:smallCaps w:val="0"/>
        <w:strike w:val="0"/>
        <w:color w:val="000000"/>
        <w:u w:val="none"/>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upperLetter"/>
      <w:lvlText w:val="Appendix %7:"/>
      <w:lvlJc w:val="center"/>
      <w:pPr>
        <w:ind w:left="14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BF44234"/>
    <w:multiLevelType w:val="multilevel"/>
    <w:tmpl w:val="04EE65C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D087179"/>
    <w:multiLevelType w:val="hybridMultilevel"/>
    <w:tmpl w:val="0D746478"/>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7" w15:restartNumberingAfterBreak="0">
    <w:nsid w:val="20F21C16"/>
    <w:multiLevelType w:val="multilevel"/>
    <w:tmpl w:val="747416C0"/>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15:restartNumberingAfterBreak="0">
    <w:nsid w:val="24A5046B"/>
    <w:multiLevelType w:val="multilevel"/>
    <w:tmpl w:val="04EE65C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2036810"/>
    <w:multiLevelType w:val="hybridMultilevel"/>
    <w:tmpl w:val="E118F6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B46BE2"/>
    <w:multiLevelType w:val="hybridMultilevel"/>
    <w:tmpl w:val="1240A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7E5E13"/>
    <w:multiLevelType w:val="hybridMultilevel"/>
    <w:tmpl w:val="A70E5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0978B2"/>
    <w:multiLevelType w:val="hybridMultilevel"/>
    <w:tmpl w:val="3490D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AA563C"/>
    <w:multiLevelType w:val="hybridMultilevel"/>
    <w:tmpl w:val="10E814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8A659DF"/>
    <w:multiLevelType w:val="multilevel"/>
    <w:tmpl w:val="E5DA7542"/>
    <w:lvl w:ilvl="0">
      <w:start w:val="1"/>
      <w:numFmt w:val="bullet"/>
      <w:lvlText w:val=""/>
      <w:lvlJc w:val="left"/>
      <w:pPr>
        <w:tabs>
          <w:tab w:val="num" w:pos="720"/>
        </w:tabs>
        <w:ind w:left="720" w:hanging="360"/>
      </w:pPr>
      <w:rPr>
        <w:rFonts w:ascii="Symbol" w:hAnsi="Symbol" w:hint="default"/>
        <w:sz w:val="24"/>
      </w:rPr>
    </w:lvl>
    <w:lvl w:ilvl="1">
      <w:start w:val="1"/>
      <w:numFmt w:val="bullet"/>
      <w:lvlText w:val="o"/>
      <w:lvlJc w:val="left"/>
      <w:pPr>
        <w:tabs>
          <w:tab w:val="num" w:pos="1350"/>
        </w:tabs>
        <w:ind w:left="1350" w:hanging="360"/>
      </w:pPr>
      <w:rPr>
        <w:rFonts w:ascii="Courier New" w:hAnsi="Courier New" w:hint="default"/>
        <w:sz w:val="20"/>
      </w:rPr>
    </w:lvl>
    <w:lvl w:ilvl="2" w:tentative="1">
      <w:start w:val="1"/>
      <w:numFmt w:val="decimal"/>
      <w:lvlText w:val="%3."/>
      <w:lvlJc w:val="left"/>
      <w:pPr>
        <w:tabs>
          <w:tab w:val="num" w:pos="2070"/>
        </w:tabs>
        <w:ind w:left="2070" w:hanging="360"/>
      </w:pPr>
    </w:lvl>
    <w:lvl w:ilvl="3" w:tentative="1">
      <w:start w:val="1"/>
      <w:numFmt w:val="decimal"/>
      <w:lvlText w:val="%4."/>
      <w:lvlJc w:val="left"/>
      <w:pPr>
        <w:tabs>
          <w:tab w:val="num" w:pos="2790"/>
        </w:tabs>
        <w:ind w:left="2790" w:hanging="360"/>
      </w:pPr>
    </w:lvl>
    <w:lvl w:ilvl="4" w:tentative="1">
      <w:start w:val="1"/>
      <w:numFmt w:val="decimal"/>
      <w:lvlText w:val="%5."/>
      <w:lvlJc w:val="left"/>
      <w:pPr>
        <w:tabs>
          <w:tab w:val="num" w:pos="3510"/>
        </w:tabs>
        <w:ind w:left="3510" w:hanging="360"/>
      </w:pPr>
    </w:lvl>
    <w:lvl w:ilvl="5" w:tentative="1">
      <w:start w:val="1"/>
      <w:numFmt w:val="decimal"/>
      <w:lvlText w:val="%6."/>
      <w:lvlJc w:val="left"/>
      <w:pPr>
        <w:tabs>
          <w:tab w:val="num" w:pos="4230"/>
        </w:tabs>
        <w:ind w:left="4230" w:hanging="360"/>
      </w:pPr>
    </w:lvl>
    <w:lvl w:ilvl="6" w:tentative="1">
      <w:start w:val="1"/>
      <w:numFmt w:val="decimal"/>
      <w:lvlText w:val="%7."/>
      <w:lvlJc w:val="left"/>
      <w:pPr>
        <w:tabs>
          <w:tab w:val="num" w:pos="4950"/>
        </w:tabs>
        <w:ind w:left="4950" w:hanging="360"/>
      </w:pPr>
    </w:lvl>
    <w:lvl w:ilvl="7" w:tentative="1">
      <w:start w:val="1"/>
      <w:numFmt w:val="decimal"/>
      <w:lvlText w:val="%8."/>
      <w:lvlJc w:val="left"/>
      <w:pPr>
        <w:tabs>
          <w:tab w:val="num" w:pos="5670"/>
        </w:tabs>
        <w:ind w:left="5670" w:hanging="360"/>
      </w:pPr>
    </w:lvl>
    <w:lvl w:ilvl="8" w:tentative="1">
      <w:start w:val="1"/>
      <w:numFmt w:val="decimal"/>
      <w:lvlText w:val="%9."/>
      <w:lvlJc w:val="left"/>
      <w:pPr>
        <w:tabs>
          <w:tab w:val="num" w:pos="6390"/>
        </w:tabs>
        <w:ind w:left="6390" w:hanging="360"/>
      </w:pPr>
    </w:lvl>
  </w:abstractNum>
  <w:abstractNum w:abstractNumId="15" w15:restartNumberingAfterBreak="0">
    <w:nsid w:val="48E53618"/>
    <w:multiLevelType w:val="multilevel"/>
    <w:tmpl w:val="04EE65C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B216C4D"/>
    <w:multiLevelType w:val="multilevel"/>
    <w:tmpl w:val="04EE65C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2A4159C"/>
    <w:multiLevelType w:val="multilevel"/>
    <w:tmpl w:val="A606DACE"/>
    <w:lvl w:ilvl="0">
      <w:start w:val="1"/>
      <w:numFmt w:val="bullet"/>
      <w:lvlText w:val=""/>
      <w:lvlJc w:val="left"/>
      <w:pPr>
        <w:ind w:left="720" w:hanging="360"/>
      </w:pPr>
      <w:rPr>
        <w:rFonts w:ascii="Symbol" w:hAnsi="Symbol" w:hint="default"/>
        <w:color w:val="000000"/>
        <w:sz w:val="24"/>
        <w:szCs w:val="24"/>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8" w15:restartNumberingAfterBreak="0">
    <w:nsid w:val="532573C3"/>
    <w:multiLevelType w:val="hybridMultilevel"/>
    <w:tmpl w:val="061EE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1A342D"/>
    <w:multiLevelType w:val="hybridMultilevel"/>
    <w:tmpl w:val="A5F09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8F3A9E"/>
    <w:multiLevelType w:val="hybridMultilevel"/>
    <w:tmpl w:val="7C2C4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7590B39"/>
    <w:multiLevelType w:val="hybridMultilevel"/>
    <w:tmpl w:val="6CEABF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BD6640"/>
    <w:multiLevelType w:val="multilevel"/>
    <w:tmpl w:val="0242025E"/>
    <w:lvl w:ilvl="0">
      <w:start w:val="1"/>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3" w15:restartNumberingAfterBreak="0">
    <w:nsid w:val="691E603B"/>
    <w:multiLevelType w:val="hybridMultilevel"/>
    <w:tmpl w:val="1012EF5E"/>
    <w:lvl w:ilvl="0" w:tplc="7AB26188">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056DFE"/>
    <w:multiLevelType w:val="hybridMultilevel"/>
    <w:tmpl w:val="17043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C59546E"/>
    <w:multiLevelType w:val="hybridMultilevel"/>
    <w:tmpl w:val="E1400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2905B7B"/>
    <w:multiLevelType w:val="hybridMultilevel"/>
    <w:tmpl w:val="38F430E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5853724"/>
    <w:multiLevelType w:val="hybridMultilevel"/>
    <w:tmpl w:val="2C90D79E"/>
    <w:lvl w:ilvl="0" w:tplc="0409000F">
      <w:start w:val="1"/>
      <w:numFmt w:val="decimal"/>
      <w:lvlText w:val="%1."/>
      <w:lvlJc w:val="left"/>
      <w:pPr>
        <w:ind w:left="360" w:hanging="360"/>
      </w:pPr>
      <w:rPr>
        <w:rFonts w:hint="default"/>
      </w:rPr>
    </w:lvl>
    <w:lvl w:ilvl="1" w:tplc="5C2EDE74">
      <w:start w:val="1"/>
      <w:numFmt w:val="bullet"/>
      <w:lvlText w:val="o"/>
      <w:lvlJc w:val="left"/>
      <w:pPr>
        <w:ind w:left="1080" w:hanging="360"/>
      </w:pPr>
      <w:rPr>
        <w:rFonts w:ascii="Symbol" w:hAnsi="Symbol"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28" w15:restartNumberingAfterBreak="0">
    <w:nsid w:val="7B984598"/>
    <w:multiLevelType w:val="multilevel"/>
    <w:tmpl w:val="3BC8CCD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E3212E0"/>
    <w:multiLevelType w:val="hybridMultilevel"/>
    <w:tmpl w:val="9C7A6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4"/>
  </w:num>
  <w:num w:numId="3">
    <w:abstractNumId w:val="2"/>
  </w:num>
  <w:num w:numId="4">
    <w:abstractNumId w:val="17"/>
  </w:num>
  <w:num w:numId="5">
    <w:abstractNumId w:val="7"/>
  </w:num>
  <w:num w:numId="6">
    <w:abstractNumId w:val="1"/>
  </w:num>
  <w:num w:numId="7">
    <w:abstractNumId w:val="27"/>
  </w:num>
  <w:num w:numId="8">
    <w:abstractNumId w:val="28"/>
  </w:num>
  <w:num w:numId="9">
    <w:abstractNumId w:val="14"/>
  </w:num>
  <w:num w:numId="10">
    <w:abstractNumId w:val="15"/>
  </w:num>
  <w:num w:numId="11">
    <w:abstractNumId w:val="5"/>
  </w:num>
  <w:num w:numId="12">
    <w:abstractNumId w:val="8"/>
  </w:num>
  <w:num w:numId="13">
    <w:abstractNumId w:val="16"/>
  </w:num>
  <w:num w:numId="14">
    <w:abstractNumId w:val="18"/>
  </w:num>
  <w:num w:numId="15">
    <w:abstractNumId w:val="29"/>
  </w:num>
  <w:num w:numId="16">
    <w:abstractNumId w:val="3"/>
  </w:num>
  <w:num w:numId="17">
    <w:abstractNumId w:val="0"/>
  </w:num>
  <w:num w:numId="18">
    <w:abstractNumId w:val="21"/>
  </w:num>
  <w:num w:numId="19">
    <w:abstractNumId w:val="9"/>
  </w:num>
  <w:num w:numId="20">
    <w:abstractNumId w:val="23"/>
  </w:num>
  <w:num w:numId="21">
    <w:abstractNumId w:val="19"/>
  </w:num>
  <w:num w:numId="22">
    <w:abstractNumId w:val="13"/>
  </w:num>
  <w:num w:numId="23">
    <w:abstractNumId w:val="11"/>
  </w:num>
  <w:num w:numId="24">
    <w:abstractNumId w:val="25"/>
  </w:num>
  <w:num w:numId="25">
    <w:abstractNumId w:val="6"/>
  </w:num>
  <w:num w:numId="26">
    <w:abstractNumId w:val="24"/>
  </w:num>
  <w:num w:numId="27">
    <w:abstractNumId w:val="20"/>
  </w:num>
  <w:num w:numId="28">
    <w:abstractNumId w:val="26"/>
  </w:num>
  <w:num w:numId="29">
    <w:abstractNumId w:val="12"/>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8AE"/>
    <w:rsid w:val="00006D65"/>
    <w:rsid w:val="000156A7"/>
    <w:rsid w:val="00023916"/>
    <w:rsid w:val="00024D18"/>
    <w:rsid w:val="00037050"/>
    <w:rsid w:val="000470A2"/>
    <w:rsid w:val="00050E0F"/>
    <w:rsid w:val="000512EC"/>
    <w:rsid w:val="00057C49"/>
    <w:rsid w:val="00063612"/>
    <w:rsid w:val="00066A45"/>
    <w:rsid w:val="000677B2"/>
    <w:rsid w:val="00071283"/>
    <w:rsid w:val="000A49BE"/>
    <w:rsid w:val="000B11D6"/>
    <w:rsid w:val="000D1565"/>
    <w:rsid w:val="000D1C25"/>
    <w:rsid w:val="000D59D7"/>
    <w:rsid w:val="000E634C"/>
    <w:rsid w:val="00100AF8"/>
    <w:rsid w:val="00124682"/>
    <w:rsid w:val="0012580F"/>
    <w:rsid w:val="00130E08"/>
    <w:rsid w:val="0015484F"/>
    <w:rsid w:val="00155CD4"/>
    <w:rsid w:val="00161A48"/>
    <w:rsid w:val="00166A7F"/>
    <w:rsid w:val="001808E4"/>
    <w:rsid w:val="0019247B"/>
    <w:rsid w:val="0019622F"/>
    <w:rsid w:val="00197E99"/>
    <w:rsid w:val="00197FA9"/>
    <w:rsid w:val="001A1393"/>
    <w:rsid w:val="001A1699"/>
    <w:rsid w:val="001A2819"/>
    <w:rsid w:val="001B0EAC"/>
    <w:rsid w:val="001B51D5"/>
    <w:rsid w:val="001B53E3"/>
    <w:rsid w:val="001B7341"/>
    <w:rsid w:val="001D5A4F"/>
    <w:rsid w:val="001F6646"/>
    <w:rsid w:val="001F6A7B"/>
    <w:rsid w:val="00203C9E"/>
    <w:rsid w:val="002042E2"/>
    <w:rsid w:val="00211B2D"/>
    <w:rsid w:val="00214DA8"/>
    <w:rsid w:val="002334C2"/>
    <w:rsid w:val="00237B9D"/>
    <w:rsid w:val="002519D4"/>
    <w:rsid w:val="002555C6"/>
    <w:rsid w:val="00255E27"/>
    <w:rsid w:val="002624F0"/>
    <w:rsid w:val="0026272E"/>
    <w:rsid w:val="00280A3B"/>
    <w:rsid w:val="00292DE8"/>
    <w:rsid w:val="002A38B0"/>
    <w:rsid w:val="002C2C51"/>
    <w:rsid w:val="002C7D3D"/>
    <w:rsid w:val="002D0D15"/>
    <w:rsid w:val="003031B8"/>
    <w:rsid w:val="00307CA2"/>
    <w:rsid w:val="00317B18"/>
    <w:rsid w:val="00322BDB"/>
    <w:rsid w:val="00332B22"/>
    <w:rsid w:val="00351900"/>
    <w:rsid w:val="00361439"/>
    <w:rsid w:val="003638AE"/>
    <w:rsid w:val="003702B8"/>
    <w:rsid w:val="003757D7"/>
    <w:rsid w:val="00385E72"/>
    <w:rsid w:val="00385F87"/>
    <w:rsid w:val="00391942"/>
    <w:rsid w:val="003B6661"/>
    <w:rsid w:val="003B66A4"/>
    <w:rsid w:val="003C0827"/>
    <w:rsid w:val="003D525E"/>
    <w:rsid w:val="003E58DD"/>
    <w:rsid w:val="00400585"/>
    <w:rsid w:val="004105DB"/>
    <w:rsid w:val="00413A21"/>
    <w:rsid w:val="004159DE"/>
    <w:rsid w:val="004330AF"/>
    <w:rsid w:val="0045022D"/>
    <w:rsid w:val="00452077"/>
    <w:rsid w:val="004615A0"/>
    <w:rsid w:val="00471939"/>
    <w:rsid w:val="00483E29"/>
    <w:rsid w:val="004879BF"/>
    <w:rsid w:val="004906C0"/>
    <w:rsid w:val="004A1E72"/>
    <w:rsid w:val="004A5264"/>
    <w:rsid w:val="004B2D14"/>
    <w:rsid w:val="004D1659"/>
    <w:rsid w:val="004D5CAD"/>
    <w:rsid w:val="004D6FCA"/>
    <w:rsid w:val="004E016C"/>
    <w:rsid w:val="00501706"/>
    <w:rsid w:val="005120CA"/>
    <w:rsid w:val="00522A23"/>
    <w:rsid w:val="005345B5"/>
    <w:rsid w:val="00546050"/>
    <w:rsid w:val="0056163F"/>
    <w:rsid w:val="0056478D"/>
    <w:rsid w:val="005816B6"/>
    <w:rsid w:val="00582282"/>
    <w:rsid w:val="00585B09"/>
    <w:rsid w:val="00586025"/>
    <w:rsid w:val="00596E34"/>
    <w:rsid w:val="00597CCF"/>
    <w:rsid w:val="005A0091"/>
    <w:rsid w:val="005A023E"/>
    <w:rsid w:val="005A6174"/>
    <w:rsid w:val="005B396D"/>
    <w:rsid w:val="005C2533"/>
    <w:rsid w:val="005D0C9E"/>
    <w:rsid w:val="005D0E01"/>
    <w:rsid w:val="005D3115"/>
    <w:rsid w:val="005D5118"/>
    <w:rsid w:val="005E1408"/>
    <w:rsid w:val="005E59C9"/>
    <w:rsid w:val="00623A8A"/>
    <w:rsid w:val="00647E5C"/>
    <w:rsid w:val="00650796"/>
    <w:rsid w:val="00651470"/>
    <w:rsid w:val="0065681E"/>
    <w:rsid w:val="00661627"/>
    <w:rsid w:val="006660D6"/>
    <w:rsid w:val="00680998"/>
    <w:rsid w:val="00686DB9"/>
    <w:rsid w:val="006870D4"/>
    <w:rsid w:val="006975F1"/>
    <w:rsid w:val="006A2D5F"/>
    <w:rsid w:val="006C14CA"/>
    <w:rsid w:val="006D4173"/>
    <w:rsid w:val="006E639A"/>
    <w:rsid w:val="00706F67"/>
    <w:rsid w:val="00707299"/>
    <w:rsid w:val="00711404"/>
    <w:rsid w:val="00724E24"/>
    <w:rsid w:val="00752EC8"/>
    <w:rsid w:val="00793435"/>
    <w:rsid w:val="00794889"/>
    <w:rsid w:val="007A202F"/>
    <w:rsid w:val="007B2093"/>
    <w:rsid w:val="007B22D9"/>
    <w:rsid w:val="007B453C"/>
    <w:rsid w:val="007B6007"/>
    <w:rsid w:val="007B7E3A"/>
    <w:rsid w:val="007D7FCF"/>
    <w:rsid w:val="007F3507"/>
    <w:rsid w:val="00803772"/>
    <w:rsid w:val="008041EA"/>
    <w:rsid w:val="008077F3"/>
    <w:rsid w:val="00810F8C"/>
    <w:rsid w:val="00812B23"/>
    <w:rsid w:val="00831335"/>
    <w:rsid w:val="008347A4"/>
    <w:rsid w:val="00835927"/>
    <w:rsid w:val="00842183"/>
    <w:rsid w:val="00851DF3"/>
    <w:rsid w:val="00873DD0"/>
    <w:rsid w:val="008803BB"/>
    <w:rsid w:val="00895425"/>
    <w:rsid w:val="008A0BD0"/>
    <w:rsid w:val="008A1657"/>
    <w:rsid w:val="008B2705"/>
    <w:rsid w:val="008B531D"/>
    <w:rsid w:val="008C613B"/>
    <w:rsid w:val="008C6713"/>
    <w:rsid w:val="008E5A4D"/>
    <w:rsid w:val="008E5B96"/>
    <w:rsid w:val="00901F18"/>
    <w:rsid w:val="009138C2"/>
    <w:rsid w:val="009161BD"/>
    <w:rsid w:val="009323DC"/>
    <w:rsid w:val="009405BB"/>
    <w:rsid w:val="00970759"/>
    <w:rsid w:val="009A0B3C"/>
    <w:rsid w:val="009A1154"/>
    <w:rsid w:val="009C0F86"/>
    <w:rsid w:val="009D40CA"/>
    <w:rsid w:val="009D54E3"/>
    <w:rsid w:val="009E390F"/>
    <w:rsid w:val="009E504D"/>
    <w:rsid w:val="009F0781"/>
    <w:rsid w:val="009F7035"/>
    <w:rsid w:val="00A06613"/>
    <w:rsid w:val="00A10BA3"/>
    <w:rsid w:val="00A1787A"/>
    <w:rsid w:val="00A35EB3"/>
    <w:rsid w:val="00A51D6A"/>
    <w:rsid w:val="00A63926"/>
    <w:rsid w:val="00A9736A"/>
    <w:rsid w:val="00AA2AB8"/>
    <w:rsid w:val="00AA7BC6"/>
    <w:rsid w:val="00AC2407"/>
    <w:rsid w:val="00AC2895"/>
    <w:rsid w:val="00AC55DE"/>
    <w:rsid w:val="00AE2D72"/>
    <w:rsid w:val="00B132FB"/>
    <w:rsid w:val="00B17137"/>
    <w:rsid w:val="00B212EB"/>
    <w:rsid w:val="00B232F4"/>
    <w:rsid w:val="00B23DD3"/>
    <w:rsid w:val="00B2404F"/>
    <w:rsid w:val="00B362B7"/>
    <w:rsid w:val="00B40AAA"/>
    <w:rsid w:val="00B41A62"/>
    <w:rsid w:val="00B4344D"/>
    <w:rsid w:val="00B92367"/>
    <w:rsid w:val="00BA0ABF"/>
    <w:rsid w:val="00BA1CC4"/>
    <w:rsid w:val="00BB0D17"/>
    <w:rsid w:val="00BC0A54"/>
    <w:rsid w:val="00BE46A9"/>
    <w:rsid w:val="00BE7D2E"/>
    <w:rsid w:val="00C142AF"/>
    <w:rsid w:val="00C264D8"/>
    <w:rsid w:val="00C31250"/>
    <w:rsid w:val="00C36440"/>
    <w:rsid w:val="00C41659"/>
    <w:rsid w:val="00C421EA"/>
    <w:rsid w:val="00C61835"/>
    <w:rsid w:val="00C70F2A"/>
    <w:rsid w:val="00C771E3"/>
    <w:rsid w:val="00C81D0B"/>
    <w:rsid w:val="00C850FE"/>
    <w:rsid w:val="00C9001D"/>
    <w:rsid w:val="00CB67EC"/>
    <w:rsid w:val="00CC4B65"/>
    <w:rsid w:val="00CD22D1"/>
    <w:rsid w:val="00CD60D2"/>
    <w:rsid w:val="00D0443A"/>
    <w:rsid w:val="00D07A98"/>
    <w:rsid w:val="00D07E5A"/>
    <w:rsid w:val="00D20E3B"/>
    <w:rsid w:val="00D53953"/>
    <w:rsid w:val="00D74ABD"/>
    <w:rsid w:val="00D77B4E"/>
    <w:rsid w:val="00D77FC2"/>
    <w:rsid w:val="00D94C3D"/>
    <w:rsid w:val="00DB1274"/>
    <w:rsid w:val="00DC404B"/>
    <w:rsid w:val="00DC645A"/>
    <w:rsid w:val="00DC714E"/>
    <w:rsid w:val="00DD39A9"/>
    <w:rsid w:val="00DE5398"/>
    <w:rsid w:val="00DE6D90"/>
    <w:rsid w:val="00E02505"/>
    <w:rsid w:val="00E0511C"/>
    <w:rsid w:val="00E21CEB"/>
    <w:rsid w:val="00E2578B"/>
    <w:rsid w:val="00E33622"/>
    <w:rsid w:val="00E40C51"/>
    <w:rsid w:val="00E4755C"/>
    <w:rsid w:val="00E50E6C"/>
    <w:rsid w:val="00E60436"/>
    <w:rsid w:val="00E63603"/>
    <w:rsid w:val="00E8398E"/>
    <w:rsid w:val="00EA1A18"/>
    <w:rsid w:val="00EA3651"/>
    <w:rsid w:val="00EA3EDE"/>
    <w:rsid w:val="00EB3A63"/>
    <w:rsid w:val="00ED3F42"/>
    <w:rsid w:val="00EE34D2"/>
    <w:rsid w:val="00EE7F08"/>
    <w:rsid w:val="00F04F43"/>
    <w:rsid w:val="00F21E7D"/>
    <w:rsid w:val="00F26BFA"/>
    <w:rsid w:val="00F336D8"/>
    <w:rsid w:val="00F53696"/>
    <w:rsid w:val="00F67D4A"/>
    <w:rsid w:val="00F7607F"/>
    <w:rsid w:val="00F97863"/>
    <w:rsid w:val="00FA5507"/>
    <w:rsid w:val="00FB0C3D"/>
    <w:rsid w:val="00FB22D0"/>
    <w:rsid w:val="00FB29DA"/>
    <w:rsid w:val="00FC172A"/>
    <w:rsid w:val="00FC3476"/>
    <w:rsid w:val="00FD54E0"/>
    <w:rsid w:val="00FF7A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6618A42-F7E6-4CD8-8359-283DF92A7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qFormat/>
    <w:rsid w:val="00AC2895"/>
    <w:pPr>
      <w:keepNext/>
      <w:ind w:left="360" w:hanging="360"/>
      <w:outlineLvl w:val="0"/>
    </w:pPr>
    <w:rPr>
      <w:b/>
      <w:smallCaps/>
      <w:color w:val="002060"/>
      <w:sz w:val="36"/>
      <w:szCs w:val="38"/>
    </w:rPr>
  </w:style>
  <w:style w:type="paragraph" w:styleId="Heading2">
    <w:name w:val="heading 2"/>
    <w:basedOn w:val="Normal"/>
    <w:next w:val="Normal"/>
    <w:qFormat/>
    <w:rsid w:val="001B0EAC"/>
    <w:pPr>
      <w:keepNext/>
      <w:outlineLvl w:val="1"/>
    </w:pPr>
    <w:rPr>
      <w:b/>
      <w:sz w:val="28"/>
      <w:szCs w:val="28"/>
    </w:rPr>
  </w:style>
  <w:style w:type="paragraph" w:styleId="Heading3">
    <w:name w:val="heading 3"/>
    <w:basedOn w:val="Normal"/>
    <w:next w:val="Normal"/>
    <w:pPr>
      <w:keepNext/>
      <w:spacing w:before="240" w:after="160"/>
      <w:outlineLvl w:val="2"/>
    </w:pPr>
    <w:rPr>
      <w:rFonts w:ascii="Arial" w:eastAsia="Arial" w:hAnsi="Arial" w:cs="Arial"/>
      <w:b/>
      <w:color w:val="003366"/>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240" w:after="60"/>
      <w:jc w:val="center"/>
    </w:pPr>
    <w:rPr>
      <w:rFonts w:ascii="Arial" w:eastAsia="Arial" w:hAnsi="Arial" w:cs="Arial"/>
      <w:b/>
      <w:color w:val="FFFFFF"/>
      <w:sz w:val="44"/>
      <w:szCs w:val="44"/>
    </w:rPr>
  </w:style>
  <w:style w:type="paragraph" w:styleId="Subtitle">
    <w:name w:val="Subtitle"/>
    <w:basedOn w:val="Normal"/>
    <w:next w:val="Normal"/>
    <w:pPr>
      <w:widowControl w:val="0"/>
    </w:pPr>
    <w:rPr>
      <w:rFonts w:ascii="Arial" w:eastAsia="Arial" w:hAnsi="Arial" w:cs="Arial"/>
      <w:color w:val="404040"/>
      <w:sz w:val="36"/>
      <w:szCs w:val="36"/>
    </w:rPr>
  </w:style>
  <w:style w:type="table" w:customStyle="1" w:styleId="a">
    <w:basedOn w:val="TableNormal"/>
    <w:pPr>
      <w:spacing w:after="0"/>
    </w:pPr>
    <w:rPr>
      <w:sz w:val="20"/>
      <w:szCs w:val="20"/>
    </w:rPr>
    <w:tblPr>
      <w:tblStyleRowBandSize w:val="1"/>
      <w:tblStyleColBandSize w:val="1"/>
    </w:tblPr>
  </w:style>
  <w:style w:type="table" w:customStyle="1" w:styleId="a0">
    <w:basedOn w:val="TableNormal"/>
    <w:pPr>
      <w:spacing w:after="0"/>
    </w:pPr>
    <w:rPr>
      <w:sz w:val="20"/>
      <w:szCs w:val="20"/>
    </w:rPr>
    <w:tblPr>
      <w:tblStyleRowBandSize w:val="1"/>
      <w:tblStyleColBandSize w:val="1"/>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BB0D17"/>
    <w:pPr>
      <w:ind w:left="720"/>
      <w:contextualSpacing/>
    </w:pPr>
  </w:style>
  <w:style w:type="paragraph" w:styleId="Header">
    <w:name w:val="header"/>
    <w:basedOn w:val="Normal"/>
    <w:link w:val="HeaderChar"/>
    <w:uiPriority w:val="99"/>
    <w:unhideWhenUsed/>
    <w:rsid w:val="004A1E72"/>
    <w:pPr>
      <w:tabs>
        <w:tab w:val="center" w:pos="4680"/>
        <w:tab w:val="right" w:pos="9360"/>
      </w:tabs>
      <w:spacing w:after="0"/>
    </w:pPr>
  </w:style>
  <w:style w:type="character" w:customStyle="1" w:styleId="HeaderChar">
    <w:name w:val="Header Char"/>
    <w:basedOn w:val="DefaultParagraphFont"/>
    <w:link w:val="Header"/>
    <w:uiPriority w:val="99"/>
    <w:rsid w:val="004A1E72"/>
  </w:style>
  <w:style w:type="paragraph" w:styleId="Footer">
    <w:name w:val="footer"/>
    <w:basedOn w:val="Normal"/>
    <w:link w:val="FooterChar"/>
    <w:uiPriority w:val="99"/>
    <w:unhideWhenUsed/>
    <w:rsid w:val="004A1E72"/>
    <w:pPr>
      <w:tabs>
        <w:tab w:val="center" w:pos="4680"/>
        <w:tab w:val="right" w:pos="9360"/>
      </w:tabs>
      <w:spacing w:after="0"/>
    </w:pPr>
  </w:style>
  <w:style w:type="character" w:customStyle="1" w:styleId="FooterChar">
    <w:name w:val="Footer Char"/>
    <w:basedOn w:val="DefaultParagraphFont"/>
    <w:link w:val="Footer"/>
    <w:uiPriority w:val="99"/>
    <w:rsid w:val="004A1E72"/>
  </w:style>
  <w:style w:type="paragraph" w:styleId="NormalWeb">
    <w:name w:val="Normal (Web)"/>
    <w:basedOn w:val="Normal"/>
    <w:uiPriority w:val="99"/>
    <w:semiHidden/>
    <w:unhideWhenUsed/>
    <w:rsid w:val="00873DD0"/>
    <w:pPr>
      <w:spacing w:before="100" w:beforeAutospacing="1" w:after="100" w:afterAutospacing="1"/>
    </w:pPr>
  </w:style>
  <w:style w:type="paragraph" w:styleId="NoSpacing">
    <w:name w:val="No Spacing"/>
    <w:uiPriority w:val="1"/>
    <w:qFormat/>
    <w:rsid w:val="002519D4"/>
    <w:pPr>
      <w:spacing w:after="0"/>
    </w:pPr>
  </w:style>
  <w:style w:type="table" w:styleId="TableGrid">
    <w:name w:val="Table Grid"/>
    <w:basedOn w:val="TableNormal"/>
    <w:uiPriority w:val="39"/>
    <w:rsid w:val="004D6FCA"/>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B17137"/>
    <w:pPr>
      <w:keepLines/>
      <w:spacing w:before="240" w:after="0" w:line="259" w:lineRule="auto"/>
      <w:ind w:left="0" w:firstLine="0"/>
      <w:outlineLvl w:val="9"/>
    </w:pPr>
    <w:rPr>
      <w:rFonts w:asciiTheme="majorHAnsi" w:eastAsiaTheme="majorEastAsia" w:hAnsiTheme="majorHAnsi" w:cstheme="majorBidi"/>
      <w:b w:val="0"/>
      <w:smallCaps w:val="0"/>
      <w:color w:val="365F91" w:themeColor="accent1" w:themeShade="BF"/>
      <w:sz w:val="32"/>
      <w:szCs w:val="32"/>
    </w:rPr>
  </w:style>
  <w:style w:type="paragraph" w:styleId="TOC1">
    <w:name w:val="toc 1"/>
    <w:basedOn w:val="Normal"/>
    <w:next w:val="Normal"/>
    <w:autoRedefine/>
    <w:uiPriority w:val="39"/>
    <w:unhideWhenUsed/>
    <w:rsid w:val="001F6A7B"/>
  </w:style>
  <w:style w:type="character" w:styleId="Hyperlink">
    <w:name w:val="Hyperlink"/>
    <w:basedOn w:val="DefaultParagraphFont"/>
    <w:uiPriority w:val="99"/>
    <w:unhideWhenUsed/>
    <w:rsid w:val="00B17137"/>
    <w:rPr>
      <w:color w:val="0000FF" w:themeColor="hyperlink"/>
      <w:u w:val="single"/>
    </w:rPr>
  </w:style>
  <w:style w:type="paragraph" w:styleId="TOC2">
    <w:name w:val="toc 2"/>
    <w:basedOn w:val="Normal"/>
    <w:next w:val="Normal"/>
    <w:autoRedefine/>
    <w:uiPriority w:val="39"/>
    <w:unhideWhenUsed/>
    <w:rsid w:val="001B0EAC"/>
    <w:pPr>
      <w:spacing w:after="100"/>
      <w:ind w:left="240"/>
    </w:pPr>
  </w:style>
  <w:style w:type="paragraph" w:styleId="BalloonText">
    <w:name w:val="Balloon Text"/>
    <w:basedOn w:val="Normal"/>
    <w:link w:val="BalloonTextChar"/>
    <w:uiPriority w:val="99"/>
    <w:semiHidden/>
    <w:unhideWhenUsed/>
    <w:rsid w:val="009138C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38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580231">
      <w:bodyDiv w:val="1"/>
      <w:marLeft w:val="0"/>
      <w:marRight w:val="0"/>
      <w:marTop w:val="0"/>
      <w:marBottom w:val="0"/>
      <w:divBdr>
        <w:top w:val="none" w:sz="0" w:space="0" w:color="auto"/>
        <w:left w:val="none" w:sz="0" w:space="0" w:color="auto"/>
        <w:bottom w:val="none" w:sz="0" w:space="0" w:color="auto"/>
        <w:right w:val="none" w:sz="0" w:space="0" w:color="auto"/>
      </w:divBdr>
    </w:div>
    <w:div w:id="21066824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mailto:robert.quinn@multco.us" TargetMode="External"/><Relationship Id="rId14" Type="http://schemas.openxmlformats.org/officeDocument/2006/relationships/header" Target="header3.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270FB4-CC31-47FA-B98A-F3577789D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3634</Words>
  <Characters>20716</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Multnomah County</Company>
  <LinksUpToDate>false</LinksUpToDate>
  <CharactersWithSpaces>24302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QUINN Robert</dc:creator>
  <cp:lastModifiedBy>QUINN Robert</cp:lastModifiedBy>
  <cp:revision>2</cp:revision>
  <cp:lastPrinted>2018-11-20T17:46:00Z</cp:lastPrinted>
  <dcterms:created xsi:type="dcterms:W3CDTF">2019-05-06T14:48:00Z</dcterms:created>
  <dcterms:modified xsi:type="dcterms:W3CDTF">2019-05-06T14:48:00Z</dcterms:modified>
</cp:coreProperties>
</file>